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13" w:rsidRPr="006A1650" w:rsidRDefault="007D4613" w:rsidP="006A165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1650">
        <w:rPr>
          <w:rFonts w:ascii="Times New Roman" w:hAnsi="Times New Roman"/>
          <w:b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/>
      </w:tblPr>
      <w:tblGrid>
        <w:gridCol w:w="2676"/>
        <w:gridCol w:w="1411"/>
        <w:gridCol w:w="1307"/>
        <w:gridCol w:w="1017"/>
        <w:gridCol w:w="9"/>
        <w:gridCol w:w="1023"/>
        <w:gridCol w:w="1022"/>
        <w:gridCol w:w="1022"/>
        <w:gridCol w:w="1021"/>
        <w:gridCol w:w="1021"/>
        <w:gridCol w:w="1021"/>
        <w:gridCol w:w="1020"/>
        <w:gridCol w:w="1022"/>
        <w:gridCol w:w="1022"/>
      </w:tblGrid>
      <w:tr w:rsidR="007D4613" w:rsidRPr="009D5D28" w:rsidTr="009D5D28">
        <w:trPr>
          <w:trHeight w:val="1267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Cs/>
                <w:color w:val="FFFFFF"/>
                <w:sz w:val="28"/>
                <w:szCs w:val="28"/>
                <w:lang w:val="uk-UA"/>
              </w:rPr>
              <w:t>Блоки контролю</w:t>
            </w:r>
          </w:p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Cs/>
                <w:color w:val="FFFFFF"/>
                <w:sz w:val="28"/>
                <w:szCs w:val="28"/>
                <w:lang w:val="uk-UA"/>
              </w:rPr>
              <w:t>якості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uk-UA"/>
              </w:rPr>
            </w:pPr>
          </w:p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Cs/>
                <w:color w:val="FFFFFF"/>
                <w:sz w:val="28"/>
                <w:szCs w:val="28"/>
                <w:lang w:val="uk-UA"/>
              </w:rPr>
              <w:t>Адміністрація</w:t>
            </w:r>
          </w:p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Cs/>
                <w:color w:val="FFFFFF"/>
                <w:sz w:val="28"/>
                <w:szCs w:val="28"/>
                <w:lang w:val="uk-UA"/>
              </w:rPr>
              <w:t>1</w:t>
            </w:r>
          </w:p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uk-UA"/>
              </w:rPr>
            </w:pPr>
          </w:p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uk-UA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Cs/>
                <w:color w:val="FFFFFF"/>
                <w:sz w:val="28"/>
                <w:szCs w:val="28"/>
                <w:lang w:val="uk-UA"/>
              </w:rPr>
              <w:t>Вчителі</w:t>
            </w:r>
          </w:p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Cs/>
                <w:color w:val="FFFFFF"/>
                <w:sz w:val="28"/>
                <w:szCs w:val="28"/>
                <w:lang w:val="uk-UA"/>
              </w:rPr>
              <w:t>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Cs/>
                <w:color w:val="FFFFFF"/>
                <w:sz w:val="28"/>
                <w:szCs w:val="28"/>
                <w:lang w:val="uk-UA"/>
              </w:rPr>
              <w:t>Учні</w:t>
            </w:r>
          </w:p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Cs/>
                <w:color w:val="FFFFFF"/>
                <w:sz w:val="28"/>
                <w:szCs w:val="28"/>
                <w:lang w:val="uk-UA"/>
              </w:rPr>
              <w:t>3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Cs/>
                <w:color w:val="FFFFFF"/>
                <w:sz w:val="28"/>
                <w:szCs w:val="28"/>
                <w:lang w:val="uk-UA"/>
              </w:rPr>
              <w:t>Їхні батьки</w:t>
            </w:r>
          </w:p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Cs/>
                <w:color w:val="FFFFFF"/>
                <w:sz w:val="28"/>
                <w:szCs w:val="28"/>
                <w:lang w:val="uk-UA"/>
              </w:rPr>
              <w:t>4</w:t>
            </w:r>
          </w:p>
        </w:tc>
      </w:tr>
      <w:tr w:rsidR="007D4613" w:rsidRPr="009D5D28" w:rsidTr="009D5D28">
        <w:trPr>
          <w:trHeight w:val="178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3DFEE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FEE"/>
            <w:textDirection w:val="btLr"/>
          </w:tcPr>
          <w:p w:rsidR="007D4613" w:rsidRPr="009D5D28" w:rsidRDefault="007D4613" w:rsidP="009D5D2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9D5D28">
              <w:rPr>
                <w:rFonts w:ascii="Times New Roman" w:hAnsi="Times New Roman"/>
                <w:b/>
                <w:lang w:val="uk-UA"/>
              </w:rPr>
              <w:t>Сума балів опитаних членів адміністрації (А)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FEE"/>
            <w:textDirection w:val="btLr"/>
          </w:tcPr>
          <w:p w:rsidR="007D4613" w:rsidRPr="009D5D28" w:rsidRDefault="007D4613" w:rsidP="009D5D2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9D5D28">
              <w:rPr>
                <w:rFonts w:ascii="Times New Roman" w:hAnsi="Times New Roman"/>
                <w:b/>
                <w:lang w:val="uk-UA"/>
              </w:rPr>
              <w:t>К-ть опитаних членів адмінністрації (Б)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FEE"/>
            <w:textDirection w:val="btLr"/>
          </w:tcPr>
          <w:p w:rsidR="007D4613" w:rsidRPr="009D5D28" w:rsidRDefault="007D4613" w:rsidP="009D5D2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9D5D28">
              <w:rPr>
                <w:rFonts w:ascii="Times New Roman" w:hAnsi="Times New Roman"/>
                <w:b/>
                <w:lang w:val="uk-UA"/>
              </w:rPr>
              <w:t>Середня к-ть балів 1 (А/Б)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FEE"/>
            <w:textDirection w:val="btLr"/>
          </w:tcPr>
          <w:p w:rsidR="007D4613" w:rsidRPr="009D5D28" w:rsidRDefault="007D4613" w:rsidP="009D5D2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9D5D28">
              <w:rPr>
                <w:rFonts w:ascii="Times New Roman" w:hAnsi="Times New Roman"/>
                <w:b/>
                <w:lang w:val="uk-UA"/>
              </w:rPr>
              <w:t>Сума балів опитаних вчителів (А)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FEE"/>
            <w:textDirection w:val="btLr"/>
          </w:tcPr>
          <w:p w:rsidR="007D4613" w:rsidRPr="009D5D28" w:rsidRDefault="007D4613" w:rsidP="009D5D2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9D5D28">
              <w:rPr>
                <w:rFonts w:ascii="Times New Roman" w:hAnsi="Times New Roman"/>
                <w:b/>
                <w:lang w:val="uk-UA"/>
              </w:rPr>
              <w:t>К-ть опитаних вчителів (Б)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FEE"/>
            <w:textDirection w:val="btLr"/>
          </w:tcPr>
          <w:p w:rsidR="007D4613" w:rsidRPr="009D5D28" w:rsidRDefault="007D4613" w:rsidP="009D5D2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9D5D28">
              <w:rPr>
                <w:rFonts w:ascii="Times New Roman" w:hAnsi="Times New Roman"/>
                <w:b/>
                <w:lang w:val="uk-UA"/>
              </w:rPr>
              <w:t>Середня к-ть балів 2 (А/Б)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FEE"/>
            <w:textDirection w:val="btLr"/>
          </w:tcPr>
          <w:p w:rsidR="007D4613" w:rsidRPr="009D5D28" w:rsidRDefault="007D4613" w:rsidP="009D5D2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9D5D28">
              <w:rPr>
                <w:rFonts w:ascii="Times New Roman" w:hAnsi="Times New Roman"/>
                <w:b/>
                <w:lang w:val="uk-UA"/>
              </w:rPr>
              <w:t>Сума балів опитуваних учнів (А)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FEE"/>
            <w:textDirection w:val="btLr"/>
          </w:tcPr>
          <w:p w:rsidR="007D4613" w:rsidRPr="009D5D28" w:rsidRDefault="007D4613" w:rsidP="009D5D2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9D5D28">
              <w:rPr>
                <w:rFonts w:ascii="Times New Roman" w:hAnsi="Times New Roman"/>
                <w:b/>
                <w:lang w:val="uk-UA"/>
              </w:rPr>
              <w:t>К-ть опитаних учнів (Б)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FEE"/>
            <w:textDirection w:val="btLr"/>
          </w:tcPr>
          <w:p w:rsidR="007D4613" w:rsidRPr="009D5D28" w:rsidRDefault="007D4613" w:rsidP="009D5D2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9D5D28">
              <w:rPr>
                <w:rFonts w:ascii="Times New Roman" w:hAnsi="Times New Roman"/>
                <w:b/>
                <w:lang w:val="uk-UA"/>
              </w:rPr>
              <w:t>Середня к-ть балів 3 (А/Б)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FEE"/>
            <w:textDirection w:val="btLr"/>
          </w:tcPr>
          <w:p w:rsidR="007D4613" w:rsidRPr="009D5D28" w:rsidRDefault="007D4613" w:rsidP="009D5D2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9D5D28">
              <w:rPr>
                <w:rFonts w:ascii="Times New Roman" w:hAnsi="Times New Roman"/>
                <w:b/>
                <w:lang w:val="uk-UA"/>
              </w:rPr>
              <w:t>Сума балів опитуваних батьків (А)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FEE"/>
            <w:textDirection w:val="btLr"/>
          </w:tcPr>
          <w:p w:rsidR="007D4613" w:rsidRPr="009D5D28" w:rsidRDefault="007D4613" w:rsidP="009D5D2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9D5D28">
              <w:rPr>
                <w:rFonts w:ascii="Times New Roman" w:hAnsi="Times New Roman"/>
                <w:b/>
                <w:lang w:val="uk-UA"/>
              </w:rPr>
              <w:t>К-ть опитаних батьків (Б)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FEE"/>
            <w:textDirection w:val="btLr"/>
          </w:tcPr>
          <w:p w:rsidR="007D4613" w:rsidRPr="009D5D28" w:rsidRDefault="007D4613" w:rsidP="009D5D2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9D5D28">
              <w:rPr>
                <w:rFonts w:ascii="Times New Roman" w:hAnsi="Times New Roman"/>
                <w:b/>
                <w:lang w:val="uk-UA"/>
              </w:rPr>
              <w:t>Середня к-ть балів 4 (А/Б)</w:t>
            </w:r>
          </w:p>
        </w:tc>
      </w:tr>
      <w:tr w:rsidR="007D4613" w:rsidRPr="009D5D28" w:rsidTr="009D5D28">
        <w:trPr>
          <w:trHeight w:val="1515"/>
        </w:trPr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3" w:rsidRPr="009D5D28" w:rsidRDefault="007D4613" w:rsidP="009D5D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5D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D5D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Забезпечення дружньої, заохочувальної, сприятливої атмосфери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6,3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3,2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17,1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3,4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59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26,1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3,3</w:t>
            </w:r>
          </w:p>
        </w:tc>
      </w:tr>
      <w:tr w:rsidR="007D4613" w:rsidRPr="009D5D28" w:rsidTr="009D5D28">
        <w:trPr>
          <w:trHeight w:val="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7D4613" w:rsidRPr="009D5D28" w:rsidRDefault="007D4613" w:rsidP="009D5D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5D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D5D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Забезпечення та дотримання належних санітарно-гігієнічних умов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64,9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3,2</w:t>
            </w:r>
          </w:p>
        </w:tc>
      </w:tr>
      <w:tr w:rsidR="007D4613" w:rsidRPr="009D5D28" w:rsidTr="009D5D28">
        <w:trPr>
          <w:trHeight w:val="32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3" w:rsidRPr="009D5D28" w:rsidRDefault="007D4613" w:rsidP="009D5D2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D5D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Сприяння співпраці та активному навчанню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59,2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2,7</w:t>
            </w:r>
          </w:p>
        </w:tc>
      </w:tr>
      <w:tr w:rsidR="007D4613" w:rsidRPr="009D5D28" w:rsidTr="009D5D28">
        <w:trPr>
          <w:trHeight w:val="32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7D4613" w:rsidRDefault="007D4613" w:rsidP="009D5D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5D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9D5D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Відсутність фізичного покарання та насильства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7D4613" w:rsidRPr="009D5D28" w:rsidRDefault="007D4613" w:rsidP="009D5D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3,1</w:t>
            </w:r>
          </w:p>
        </w:tc>
      </w:tr>
      <w:tr w:rsidR="007D4613" w:rsidRPr="009D5D28" w:rsidTr="009D5D28">
        <w:trPr>
          <w:trHeight w:val="32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3" w:rsidRDefault="007D4613" w:rsidP="009D5D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5D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9D5D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Недопущення знущання, домагання та дискримінації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7D4613" w:rsidRPr="009D5D28" w:rsidRDefault="007D4613" w:rsidP="009D5D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63,2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3,2</w:t>
            </w:r>
          </w:p>
        </w:tc>
      </w:tr>
      <w:tr w:rsidR="007D4613" w:rsidRPr="009D5D28" w:rsidTr="009D5D28">
        <w:trPr>
          <w:trHeight w:val="32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7D4613" w:rsidRPr="009D5D28" w:rsidRDefault="007D4613" w:rsidP="009D5D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5D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D5D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Оцінка розвитку творчих видів діяльності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3,1</w:t>
            </w:r>
          </w:p>
        </w:tc>
      </w:tr>
      <w:tr w:rsidR="007D4613" w:rsidRPr="009D5D28" w:rsidTr="009D5D28">
        <w:trPr>
          <w:trHeight w:val="32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3" w:rsidRPr="009D5D28" w:rsidRDefault="007D4613" w:rsidP="009D5D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5D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D5D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Узгодження виховних впливів школи і сім</w:t>
            </w:r>
            <w:r w:rsidRPr="00CB5852"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 w:rsidRPr="009D5D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ї шляхом залучення батьків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2,9</w:t>
            </w:r>
          </w:p>
        </w:tc>
      </w:tr>
      <w:tr w:rsidR="007D4613" w:rsidRPr="009D5D28" w:rsidTr="009D5D28">
        <w:trPr>
          <w:trHeight w:val="32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7D4613" w:rsidRPr="009D5D28" w:rsidRDefault="007D4613" w:rsidP="009D5D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5D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D5D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Сприяння рівним можливостям учнів щодо участі у прийнятті рішень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64,9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3,5</w:t>
            </w:r>
          </w:p>
        </w:tc>
      </w:tr>
      <w:tr w:rsidR="007D4613" w:rsidRPr="009D5D28" w:rsidTr="009D5D28">
        <w:trPr>
          <w:trHeight w:val="32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3" w:rsidRPr="009D5D28" w:rsidRDefault="007D4613" w:rsidP="009D5D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5D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D5D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Якісна превентивна освіта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65,2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3,4</w:t>
            </w:r>
          </w:p>
        </w:tc>
      </w:tr>
      <w:tr w:rsidR="007D4613" w:rsidRPr="009D5D28" w:rsidTr="009D5D28">
        <w:trPr>
          <w:trHeight w:val="32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7D4613" w:rsidRPr="009D5D28" w:rsidRDefault="007D4613" w:rsidP="009D5D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5D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Загальна сума балів графи «середня кількість балів (А/Б)» за дев</w:t>
            </w:r>
            <w:r w:rsidRPr="00CB5852"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 w:rsidRPr="009D5D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ять блоків: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D4613" w:rsidRPr="009D5D28" w:rsidRDefault="007D4613" w:rsidP="009D5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D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28,4</w:t>
            </w:r>
          </w:p>
        </w:tc>
      </w:tr>
    </w:tbl>
    <w:p w:rsidR="007D4613" w:rsidRDefault="007D4613" w:rsidP="006A165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D4613" w:rsidRDefault="007D4613" w:rsidP="002B25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87DDF">
        <w:rPr>
          <w:rFonts w:ascii="Times New Roman" w:hAnsi="Times New Roman"/>
          <w:sz w:val="28"/>
          <w:szCs w:val="28"/>
          <w:lang w:val="uk-UA"/>
        </w:rPr>
        <w:t>Одним із пріоритетних напрямів виховного процесу є необхідність забезпечення в кожному навчально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F87DDF">
        <w:rPr>
          <w:rFonts w:ascii="Times New Roman" w:hAnsi="Times New Roman"/>
          <w:sz w:val="28"/>
          <w:szCs w:val="28"/>
          <w:lang w:val="uk-UA"/>
        </w:rPr>
        <w:t xml:space="preserve">виховному закладі відповідних умов для розвитку фізично та психічно здорової особистості, запобігання пияцтву, наркоманії, насильству, іншим асоціальним явищам, що негативно впливають на здоров’я людей. </w:t>
      </w:r>
      <w:r>
        <w:rPr>
          <w:rFonts w:ascii="Times New Roman" w:hAnsi="Times New Roman"/>
          <w:sz w:val="28"/>
          <w:szCs w:val="28"/>
          <w:lang w:val="uk-UA"/>
        </w:rPr>
        <w:t>У КЗ «Володарська загальноосвітня санаторна школа-інтернат І-ІІІ ступенів» побудований такий навчально-</w:t>
      </w:r>
      <w:r w:rsidRPr="00F87DDF">
        <w:rPr>
          <w:rFonts w:ascii="Times New Roman" w:hAnsi="Times New Roman"/>
          <w:sz w:val="28"/>
          <w:szCs w:val="28"/>
          <w:lang w:val="uk-UA"/>
        </w:rPr>
        <w:t>виховний процес, який забезпечу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87DDF">
        <w:rPr>
          <w:rFonts w:ascii="Times New Roman" w:hAnsi="Times New Roman"/>
          <w:sz w:val="28"/>
          <w:szCs w:val="28"/>
          <w:lang w:val="uk-UA"/>
        </w:rPr>
        <w:t xml:space="preserve"> тривалий і цілісний виховний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5852">
        <w:rPr>
          <w:rFonts w:ascii="Times New Roman" w:hAnsi="Times New Roman"/>
          <w:sz w:val="28"/>
          <w:szCs w:val="28"/>
          <w:lang w:val="uk-UA"/>
        </w:rPr>
        <w:t>вплив на учнів. Сукупність навчально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CB5852">
        <w:rPr>
          <w:rFonts w:ascii="Times New Roman" w:hAnsi="Times New Roman"/>
          <w:sz w:val="28"/>
          <w:szCs w:val="28"/>
          <w:lang w:val="uk-UA"/>
        </w:rPr>
        <w:t xml:space="preserve">пізнавальних занять, стосунки між педагогами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F87D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5852">
        <w:rPr>
          <w:rFonts w:ascii="Times New Roman" w:hAnsi="Times New Roman"/>
          <w:sz w:val="28"/>
          <w:szCs w:val="28"/>
          <w:lang w:val="uk-UA"/>
        </w:rPr>
        <w:t>учнями 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5852">
        <w:rPr>
          <w:rFonts w:ascii="Times New Roman" w:hAnsi="Times New Roman"/>
          <w:sz w:val="28"/>
          <w:szCs w:val="28"/>
          <w:lang w:val="uk-UA"/>
        </w:rPr>
        <w:t>системою, сприятливою не тільки для формування</w:t>
      </w:r>
      <w:r w:rsidRPr="00F87D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5852">
        <w:rPr>
          <w:rFonts w:ascii="Times New Roman" w:hAnsi="Times New Roman"/>
          <w:sz w:val="28"/>
          <w:szCs w:val="28"/>
          <w:lang w:val="uk-UA"/>
        </w:rPr>
        <w:t>гармонійно розвиненої особистості, але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5852">
        <w:rPr>
          <w:rFonts w:ascii="Times New Roman" w:hAnsi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CB5852">
        <w:rPr>
          <w:rFonts w:ascii="Times New Roman" w:hAnsi="Times New Roman"/>
          <w:sz w:val="28"/>
          <w:szCs w:val="28"/>
          <w:lang w:val="uk-UA"/>
        </w:rPr>
        <w:t>набуття нею досвіду громадської діяльності, виховання в неї найважливіших</w:t>
      </w:r>
      <w:r w:rsidRPr="00F87D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5852">
        <w:rPr>
          <w:rFonts w:ascii="Times New Roman" w:hAnsi="Times New Roman"/>
          <w:sz w:val="28"/>
          <w:szCs w:val="28"/>
          <w:lang w:val="uk-UA"/>
        </w:rPr>
        <w:t>соціальних якостей, запобігання девіантній поведінці підлітків.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2530">
        <w:rPr>
          <w:rFonts w:ascii="Times New Roman" w:hAnsi="Times New Roman"/>
          <w:sz w:val="28"/>
          <w:szCs w:val="28"/>
          <w:lang w:val="uk-UA"/>
        </w:rPr>
        <w:t xml:space="preserve">Аналізуючи результати опитування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можна зазначити, що відповіді з дев’яти блоків показують рівність думок у всіх чотирьох груп респондентів. </w:t>
      </w:r>
    </w:p>
    <w:p w:rsidR="007D4613" w:rsidRPr="008D0C95" w:rsidRDefault="007D4613" w:rsidP="00F31E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2530">
        <w:rPr>
          <w:rFonts w:ascii="Times New Roman" w:hAnsi="Times New Roman"/>
          <w:sz w:val="28"/>
          <w:szCs w:val="28"/>
        </w:rPr>
        <w:t xml:space="preserve">Підвищенню результативності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навчальної та </w:t>
      </w:r>
      <w:r w:rsidRPr="002B2530">
        <w:rPr>
          <w:rFonts w:ascii="Times New Roman" w:hAnsi="Times New Roman"/>
          <w:sz w:val="28"/>
          <w:szCs w:val="28"/>
        </w:rPr>
        <w:t xml:space="preserve">виховної роботи в </w:t>
      </w:r>
      <w:r>
        <w:rPr>
          <w:rFonts w:ascii="Times New Roman" w:hAnsi="Times New Roman"/>
          <w:sz w:val="28"/>
          <w:szCs w:val="28"/>
          <w:lang w:val="uk-UA"/>
        </w:rPr>
        <w:t>школі</w:t>
      </w:r>
      <w:r w:rsidRPr="002B2530">
        <w:rPr>
          <w:rFonts w:ascii="Times New Roman" w:hAnsi="Times New Roman"/>
          <w:sz w:val="28"/>
          <w:szCs w:val="28"/>
        </w:rPr>
        <w:t xml:space="preserve"> сприяє вдосконалення нових форм роботи, пошук нових систем</w:t>
      </w:r>
      <w:r w:rsidRPr="002B25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2530">
        <w:rPr>
          <w:rFonts w:ascii="Times New Roman" w:hAnsi="Times New Roman"/>
          <w:sz w:val="28"/>
          <w:szCs w:val="28"/>
        </w:rPr>
        <w:t>виховання, впровадження розвиваючих технологій.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8D0C95">
        <w:rPr>
          <w:rFonts w:ascii="Times New Roman" w:hAnsi="Times New Roman"/>
          <w:sz w:val="28"/>
          <w:szCs w:val="28"/>
          <w:lang w:val="uk-UA"/>
        </w:rPr>
        <w:t xml:space="preserve"> цьому навчальному році педагогічний колектив школи працював над науково-методичною темою </w:t>
      </w:r>
      <w:r w:rsidRPr="00485971">
        <w:rPr>
          <w:rFonts w:ascii="Times New Roman" w:hAnsi="Times New Roman"/>
          <w:b/>
          <w:i/>
          <w:sz w:val="28"/>
          <w:szCs w:val="28"/>
          <w:lang w:val="uk-UA"/>
        </w:rPr>
        <w:t>«Вплив здоров’язберігаючих технологій на формування та становлення особистості в умовах школи життєзнавства</w:t>
      </w:r>
      <w:r w:rsidRPr="00E34B41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8D0C9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D4613" w:rsidRPr="00024F6F" w:rsidRDefault="007D4613" w:rsidP="00F31E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навчальному закладі забезпечується дружне ставлення до всіх відвідувачів та новоприбулих учнів. У цьому році учнівський колектив оновився на 45 %. </w:t>
      </w:r>
      <w:r w:rsidRPr="00B14579">
        <w:rPr>
          <w:rFonts w:ascii="Times New Roman" w:hAnsi="Times New Roman"/>
          <w:sz w:val="28"/>
          <w:szCs w:val="28"/>
          <w:lang w:val="uk-UA"/>
        </w:rPr>
        <w:t xml:space="preserve">В основному учні, які прибували з різних куточків Київщини, мали низький та середній рівні знань, але педагоги спрямували свою діяльність на формування в них уміння вчитися, на інтелектуальний, моральний, соціальний та фізичний розвиток кожної особистості. </w:t>
      </w:r>
      <w:r w:rsidRPr="00326985">
        <w:rPr>
          <w:rFonts w:ascii="Times New Roman" w:hAnsi="Times New Roman"/>
          <w:sz w:val="28"/>
          <w:szCs w:val="28"/>
          <w:lang w:val="uk-UA"/>
        </w:rPr>
        <w:t>На сьогодні в школі склалася система виховної роботи, яка на принципах гуманізму, демократизму, спадкоємності поколінь забезпечує здійснення патріотичного виховання, спонукає до утвердження педагогіки особистості, сприяє формуванню в учнів навичок самоосвіти, самоаналізу, допомагає учням розвивати індивідуальні здібності та творчі задатки. Уся виховна робота школи спрямована на кінцевий результат — успішного випускника школи життєзнавства.</w:t>
      </w:r>
      <w:r w:rsidRPr="00326985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326985">
        <w:rPr>
          <w:rFonts w:ascii="Times New Roman" w:hAnsi="Times New Roman"/>
          <w:sz w:val="28"/>
          <w:szCs w:val="28"/>
          <w:lang w:val="uk-UA"/>
        </w:rPr>
        <w:t>исоко оцін</w:t>
      </w:r>
      <w:r>
        <w:rPr>
          <w:rFonts w:ascii="Times New Roman" w:hAnsi="Times New Roman"/>
          <w:sz w:val="28"/>
          <w:szCs w:val="28"/>
          <w:lang w:val="uk-UA"/>
        </w:rPr>
        <w:t>юється робота</w:t>
      </w:r>
      <w:r w:rsidRPr="00326985">
        <w:rPr>
          <w:rFonts w:ascii="Times New Roman" w:hAnsi="Times New Roman"/>
          <w:sz w:val="28"/>
          <w:szCs w:val="28"/>
          <w:lang w:val="uk-UA"/>
        </w:rPr>
        <w:t xml:space="preserve"> кожної ланки працівників, а це і соціальна служба, і медичний, і технічний, і обслуговуючий персонал.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326985">
        <w:rPr>
          <w:rFonts w:ascii="Times New Roman" w:hAnsi="Times New Roman"/>
          <w:sz w:val="28"/>
          <w:szCs w:val="28"/>
          <w:lang w:val="uk-UA"/>
        </w:rPr>
        <w:t>пільна робота всього колективу дає відповідні позитивні результати. Протягом року активне, змістовне й цікаве життя учнів і педагогів висвітлю</w:t>
      </w:r>
      <w:r>
        <w:rPr>
          <w:rFonts w:ascii="Times New Roman" w:hAnsi="Times New Roman"/>
          <w:sz w:val="28"/>
          <w:szCs w:val="28"/>
          <w:lang w:val="uk-UA"/>
        </w:rPr>
        <w:t>валася</w:t>
      </w:r>
      <w:r w:rsidRPr="00326985">
        <w:rPr>
          <w:rFonts w:ascii="Times New Roman" w:hAnsi="Times New Roman"/>
          <w:sz w:val="28"/>
          <w:szCs w:val="28"/>
          <w:lang w:val="uk-UA"/>
        </w:rPr>
        <w:t xml:space="preserve"> на сайті школи, сторінках учнівської газети «VOLSI NEWS» та районної газети «Голос Володарщини».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B14579">
        <w:rPr>
          <w:rFonts w:ascii="Times New Roman" w:hAnsi="Times New Roman"/>
          <w:sz w:val="28"/>
          <w:szCs w:val="28"/>
          <w:lang w:val="uk-UA"/>
        </w:rPr>
        <w:t>ихованці школи б</w:t>
      </w:r>
      <w:r>
        <w:rPr>
          <w:rFonts w:ascii="Times New Roman" w:hAnsi="Times New Roman"/>
          <w:sz w:val="28"/>
          <w:szCs w:val="28"/>
          <w:lang w:val="uk-UA"/>
        </w:rPr>
        <w:t>рали</w:t>
      </w:r>
      <w:r w:rsidRPr="00B14579">
        <w:rPr>
          <w:rFonts w:ascii="Times New Roman" w:hAnsi="Times New Roman"/>
          <w:sz w:val="28"/>
          <w:szCs w:val="28"/>
          <w:lang w:val="uk-UA"/>
        </w:rPr>
        <w:t xml:space="preserve"> активну участь у різних конк</w:t>
      </w:r>
      <w:r>
        <w:rPr>
          <w:rFonts w:ascii="Times New Roman" w:hAnsi="Times New Roman"/>
          <w:sz w:val="28"/>
          <w:szCs w:val="28"/>
          <w:lang w:val="uk-UA"/>
        </w:rPr>
        <w:t>урсах та олімпіадах, де показали</w:t>
      </w:r>
      <w:r w:rsidRPr="00B14579">
        <w:rPr>
          <w:rFonts w:ascii="Times New Roman" w:hAnsi="Times New Roman"/>
          <w:sz w:val="28"/>
          <w:szCs w:val="28"/>
          <w:lang w:val="uk-UA"/>
        </w:rPr>
        <w:t xml:space="preserve"> досить високі результати. Крім того, лікувально-реабілітаційні процедури, які </w:t>
      </w:r>
      <w:r>
        <w:rPr>
          <w:rFonts w:ascii="Times New Roman" w:hAnsi="Times New Roman"/>
          <w:sz w:val="28"/>
          <w:szCs w:val="28"/>
          <w:lang w:val="uk-UA"/>
        </w:rPr>
        <w:t xml:space="preserve">останнім часом </w:t>
      </w:r>
      <w:r w:rsidRPr="00B14579">
        <w:rPr>
          <w:rFonts w:ascii="Times New Roman" w:hAnsi="Times New Roman"/>
          <w:sz w:val="28"/>
          <w:szCs w:val="28"/>
          <w:lang w:val="uk-UA"/>
        </w:rPr>
        <w:t>двічі на рік вво</w:t>
      </w:r>
      <w:r>
        <w:rPr>
          <w:rFonts w:ascii="Times New Roman" w:hAnsi="Times New Roman"/>
          <w:sz w:val="28"/>
          <w:szCs w:val="28"/>
          <w:lang w:val="uk-UA"/>
        </w:rPr>
        <w:t>дять</w:t>
      </w:r>
      <w:r w:rsidRPr="00B14579">
        <w:rPr>
          <w:rFonts w:ascii="Times New Roman" w:hAnsi="Times New Roman"/>
          <w:sz w:val="28"/>
          <w:szCs w:val="28"/>
          <w:lang w:val="uk-UA"/>
        </w:rPr>
        <w:t>ся у розклад уроків, позитивно впли</w:t>
      </w:r>
      <w:r>
        <w:rPr>
          <w:rFonts w:ascii="Times New Roman" w:hAnsi="Times New Roman"/>
          <w:sz w:val="28"/>
          <w:szCs w:val="28"/>
          <w:lang w:val="uk-UA"/>
        </w:rPr>
        <w:t>вають</w:t>
      </w:r>
      <w:r w:rsidRPr="00B14579">
        <w:rPr>
          <w:rFonts w:ascii="Times New Roman" w:hAnsi="Times New Roman"/>
          <w:sz w:val="28"/>
          <w:szCs w:val="28"/>
          <w:lang w:val="uk-UA"/>
        </w:rPr>
        <w:t xml:space="preserve"> на здоров’я дітей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24F6F">
        <w:rPr>
          <w:rFonts w:ascii="Times New Roman" w:hAnsi="Times New Roman"/>
          <w:spacing w:val="-6"/>
          <w:sz w:val="28"/>
          <w:szCs w:val="28"/>
        </w:rPr>
        <w:t>З метою ознайомлення та впровадження сучасних та нетрадиційних методик у збереженні та зміцненні здоров’я дітей систематично проводяться медико-педагогічні консиліуми.</w:t>
      </w:r>
      <w:r w:rsidRPr="00F559E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24F6F">
        <w:rPr>
          <w:rFonts w:ascii="Times New Roman" w:hAnsi="Times New Roman"/>
          <w:spacing w:val="-6"/>
          <w:sz w:val="28"/>
          <w:szCs w:val="28"/>
        </w:rPr>
        <w:t>Педагоги ознайомилися з нетрадиційними системами оздоровлення: точковим масажем, роуп-скопінгом, танцетерапією, із заспокійливими лікарськими рослинами, дихальною гімнастикою, видами водного загартування та отримали інформацію,</w:t>
      </w:r>
      <w:r w:rsidRPr="00024F6F">
        <w:rPr>
          <w:rFonts w:ascii="Times New Roman" w:hAnsi="Times New Roman"/>
          <w:spacing w:val="-4"/>
          <w:sz w:val="28"/>
          <w:szCs w:val="28"/>
        </w:rPr>
        <w:t xml:space="preserve"> як покращити пам’ять, запобігти плоскостопості, захиститися від шуму та моніторної хвороби тощо. </w:t>
      </w:r>
    </w:p>
    <w:p w:rsidR="007D4613" w:rsidRPr="00E34B41" w:rsidRDefault="007D4613" w:rsidP="00A265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A265A0">
        <w:rPr>
          <w:rFonts w:ascii="Times New Roman" w:hAnsi="Times New Roman"/>
          <w:sz w:val="28"/>
          <w:szCs w:val="28"/>
        </w:rPr>
        <w:t>обота з батьками здійснюється в індивідуальній формі. В кожного класного керівника та вихователя спланована система роботи з батьками, розділи якої висвітлюються в робочих зошитах вихователя та класного керівника. Проведення просвітницьких заходів з питань вікових особливостей учнів, захисту прав дітей, формування девіантної поведінки тощо.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65A0">
        <w:rPr>
          <w:rFonts w:ascii="Times New Roman" w:hAnsi="Times New Roman"/>
          <w:sz w:val="28"/>
          <w:szCs w:val="28"/>
        </w:rPr>
        <w:t xml:space="preserve">Просвітницькі заходи проводяться в більшості випадків індивідуально: вихователями, класними керівниками, практичним психологом, соціальним педагогом та при потребі педагогічним колективом. </w:t>
      </w:r>
      <w:r>
        <w:rPr>
          <w:rFonts w:ascii="Times New Roman" w:hAnsi="Times New Roman"/>
          <w:sz w:val="28"/>
          <w:szCs w:val="28"/>
          <w:lang w:val="uk-UA"/>
        </w:rPr>
        <w:t>В подальшому плануємо активно залучати батьків до обговорення й прийняття рішень у навчально-виховному процесі школи.</w:t>
      </w:r>
    </w:p>
    <w:p w:rsidR="007D4613" w:rsidRPr="00F30851" w:rsidRDefault="007D4613" w:rsidP="00F30851">
      <w:pPr>
        <w:pStyle w:val="BodyText"/>
        <w:spacing w:line="36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Pr="00833830">
        <w:rPr>
          <w:b w:val="0"/>
          <w:sz w:val="28"/>
          <w:szCs w:val="28"/>
        </w:rPr>
        <w:t xml:space="preserve"> школі створено орган учнівсь</w:t>
      </w:r>
      <w:r>
        <w:rPr>
          <w:b w:val="0"/>
          <w:sz w:val="28"/>
          <w:szCs w:val="28"/>
        </w:rPr>
        <w:t xml:space="preserve">кого самоврядування під назвою </w:t>
      </w:r>
      <w:r w:rsidRPr="00833830">
        <w:rPr>
          <w:b w:val="0"/>
          <w:sz w:val="28"/>
          <w:szCs w:val="28"/>
        </w:rPr>
        <w:t xml:space="preserve">«Містечко ЕВРІКА». Учнівське самоврядування дає </w:t>
      </w:r>
      <w:r w:rsidRPr="00F30851">
        <w:rPr>
          <w:b w:val="0"/>
          <w:sz w:val="28"/>
          <w:szCs w:val="28"/>
        </w:rPr>
        <w:t xml:space="preserve">вихованцям інтернатного закладу можливість практикуватись у входженні в соціальне середовище. Беручи участь у реалізації соціально значущих проектів, програм, учень інтернатного закладу набуває певного життєвого, соціального досвіду, формує свої організаторські вміння, креативні риси, і, що найголовніше, усвідомлює важливість цієї справи. Одним із </w:t>
      </w:r>
      <w:r w:rsidRPr="00833830">
        <w:rPr>
          <w:b w:val="0"/>
          <w:sz w:val="28"/>
          <w:szCs w:val="28"/>
        </w:rPr>
        <w:t xml:space="preserve">принципів виховання є поєднання педагогічного керівництва з ініціативою і самодіяльністю учня. </w:t>
      </w:r>
      <w:r w:rsidRPr="00F30851">
        <w:rPr>
          <w:b w:val="0"/>
          <w:sz w:val="28"/>
          <w:szCs w:val="28"/>
        </w:rPr>
        <w:t>Діяльність учнівського самоврядування здійснюється за чітко складеними планами засідань учнівського комітету та кожного сектору. Учні, які входять до складу учнівського комітету, набули важливого досвіду в плануванні та виконанні певних завдань, дотримуванні чіткої організації роботи за планами.</w:t>
      </w:r>
    </w:p>
    <w:p w:rsidR="007D4613" w:rsidRPr="00F30851" w:rsidRDefault="007D4613" w:rsidP="00F30851">
      <w:pPr>
        <w:pStyle w:val="BodyText"/>
        <w:spacing w:line="360" w:lineRule="auto"/>
        <w:ind w:firstLine="709"/>
        <w:rPr>
          <w:b w:val="0"/>
          <w:sz w:val="28"/>
          <w:szCs w:val="28"/>
        </w:rPr>
      </w:pPr>
      <w:r w:rsidRPr="00F30851">
        <w:rPr>
          <w:b w:val="0"/>
          <w:sz w:val="28"/>
          <w:szCs w:val="28"/>
        </w:rPr>
        <w:t>Представники учнівської молоді від класів, які входять до учнівського комітету школи, набули якостей лідерів: відповідальності, самостійності, ініціативності, вміння аналізувати та приймати рішення.</w:t>
      </w:r>
    </w:p>
    <w:p w:rsidR="007D4613" w:rsidRPr="00F30851" w:rsidRDefault="007D4613" w:rsidP="00F30851">
      <w:pPr>
        <w:pStyle w:val="BodyText"/>
        <w:spacing w:line="360" w:lineRule="auto"/>
        <w:ind w:firstLine="709"/>
        <w:rPr>
          <w:b w:val="0"/>
          <w:sz w:val="28"/>
          <w:szCs w:val="28"/>
        </w:rPr>
      </w:pPr>
      <w:r w:rsidRPr="00F30851">
        <w:rPr>
          <w:b w:val="0"/>
          <w:sz w:val="28"/>
          <w:szCs w:val="28"/>
        </w:rPr>
        <w:t>На особливу увагу заслуговує робота комітету учнівського самоврядування в клубі вихідного дня, де голови секторів пропонують нові види організації дозвілля.</w:t>
      </w:r>
    </w:p>
    <w:p w:rsidR="007D4613" w:rsidRDefault="007D4613" w:rsidP="00DF77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школі ведеться відкрита політика недопущення знущань, приниження та утисків. Учні у разі непорозумінь звертаються до практичного психолога, який надає кваліфіковану допомогу. Педагогічний колектив робить все можливе, щоб запобігти ситуаціям непорозуміння учнів один з одним. У школі створена шкільна Р</w:t>
      </w:r>
      <w:r w:rsidRPr="00DF77DA">
        <w:rPr>
          <w:rFonts w:ascii="Times New Roman" w:hAnsi="Times New Roman"/>
          <w:sz w:val="28"/>
          <w:szCs w:val="28"/>
          <w:lang w:val="uk-UA"/>
        </w:rPr>
        <w:t>ада профілактики правопорушень, яку очолює директор школи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F77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DF77DA">
        <w:rPr>
          <w:rFonts w:ascii="Times New Roman" w:hAnsi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DF77DA">
        <w:rPr>
          <w:rFonts w:ascii="Times New Roman" w:hAnsi="Times New Roman"/>
          <w:sz w:val="28"/>
          <w:szCs w:val="28"/>
          <w:lang w:val="uk-UA"/>
        </w:rPr>
        <w:t>складу входять члени адміністрації школи, вчителі та вихователі, члени учнівського самоврядува</w:t>
      </w:r>
      <w:r>
        <w:rPr>
          <w:rFonts w:ascii="Times New Roman" w:hAnsi="Times New Roman"/>
          <w:sz w:val="28"/>
          <w:szCs w:val="28"/>
          <w:lang w:val="uk-UA"/>
        </w:rPr>
        <w:t>ння. На засідання Р</w:t>
      </w:r>
      <w:r w:rsidRPr="00DF77DA">
        <w:rPr>
          <w:rFonts w:ascii="Times New Roman" w:hAnsi="Times New Roman"/>
          <w:sz w:val="28"/>
          <w:szCs w:val="28"/>
          <w:lang w:val="uk-UA"/>
        </w:rPr>
        <w:t>ади профілактики запрошу</w:t>
      </w:r>
      <w:r>
        <w:rPr>
          <w:rFonts w:ascii="Times New Roman" w:hAnsi="Times New Roman"/>
          <w:sz w:val="28"/>
          <w:szCs w:val="28"/>
          <w:lang w:val="uk-UA"/>
        </w:rPr>
        <w:t>ються</w:t>
      </w:r>
      <w:r w:rsidRPr="00DF77DA">
        <w:rPr>
          <w:rFonts w:ascii="Times New Roman" w:hAnsi="Times New Roman"/>
          <w:sz w:val="28"/>
          <w:szCs w:val="28"/>
          <w:lang w:val="uk-UA"/>
        </w:rPr>
        <w:t xml:space="preserve"> працівники районного відділу внутрішніх справ, зокрема старший дільничний інспектор та начальник кримінальної міліції у справах дітей.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77DA">
        <w:rPr>
          <w:rFonts w:ascii="Times New Roman" w:hAnsi="Times New Roman"/>
          <w:sz w:val="28"/>
          <w:szCs w:val="28"/>
          <w:lang w:val="uk-UA"/>
        </w:rPr>
        <w:t xml:space="preserve">Планові засідання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DF77DA">
        <w:rPr>
          <w:rFonts w:ascii="Times New Roman" w:hAnsi="Times New Roman"/>
          <w:sz w:val="28"/>
          <w:szCs w:val="28"/>
          <w:lang w:val="uk-UA"/>
        </w:rPr>
        <w:t xml:space="preserve">ади профілактики проходять з періодичністю раз на квартал, позапланові за потребою. </w:t>
      </w:r>
      <w:r w:rsidRPr="009C0366">
        <w:rPr>
          <w:rFonts w:ascii="Times New Roman" w:hAnsi="Times New Roman"/>
          <w:sz w:val="28"/>
          <w:szCs w:val="28"/>
          <w:lang w:val="uk-UA"/>
        </w:rPr>
        <w:t xml:space="preserve">Профілактичну роботу по правопорушеннях проводить </w:t>
      </w:r>
      <w:r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Pr="009C0366">
        <w:rPr>
          <w:rFonts w:ascii="Times New Roman" w:hAnsi="Times New Roman"/>
          <w:sz w:val="28"/>
          <w:szCs w:val="28"/>
          <w:lang w:val="uk-UA"/>
        </w:rPr>
        <w:t xml:space="preserve">учнівський </w:t>
      </w:r>
      <w:r w:rsidRPr="00A265A0">
        <w:rPr>
          <w:rFonts w:ascii="Times New Roman" w:hAnsi="Times New Roman"/>
          <w:sz w:val="28"/>
          <w:szCs w:val="28"/>
          <w:lang w:val="uk-UA"/>
        </w:rPr>
        <w:t xml:space="preserve">сектор </w:t>
      </w:r>
      <w:r w:rsidRPr="009C0366">
        <w:rPr>
          <w:rFonts w:ascii="Times New Roman" w:hAnsi="Times New Roman"/>
          <w:sz w:val="28"/>
          <w:szCs w:val="28"/>
          <w:lang w:val="uk-UA"/>
        </w:rPr>
        <w:t>«Правовий лабіринт»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D4613" w:rsidRPr="00250D9D" w:rsidRDefault="007D4613" w:rsidP="00250D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50D9D">
        <w:rPr>
          <w:rFonts w:ascii="Times New Roman" w:hAnsi="Times New Roman"/>
          <w:sz w:val="28"/>
          <w:szCs w:val="28"/>
          <w:lang w:val="uk-UA"/>
        </w:rPr>
        <w:t>Відповідно до річного плану школи та плану загальношкільних виховних заходів пров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250D9D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яться</w:t>
      </w:r>
      <w:r w:rsidRPr="00250D9D">
        <w:rPr>
          <w:rFonts w:ascii="Times New Roman" w:hAnsi="Times New Roman"/>
          <w:sz w:val="28"/>
          <w:szCs w:val="28"/>
          <w:lang w:val="uk-UA"/>
        </w:rPr>
        <w:t xml:space="preserve"> місячники ціннісного ставлення до себе та людей, до держави та суспільства, до родини та сім'ї, до культури та мистецтва, до природи та рідного краю. Тижні місячників проход</w:t>
      </w:r>
      <w:r>
        <w:rPr>
          <w:rFonts w:ascii="Times New Roman" w:hAnsi="Times New Roman"/>
          <w:sz w:val="28"/>
          <w:szCs w:val="28"/>
          <w:lang w:val="uk-UA"/>
        </w:rPr>
        <w:t>ять</w:t>
      </w:r>
      <w:r w:rsidRPr="00250D9D">
        <w:rPr>
          <w:rFonts w:ascii="Times New Roman" w:hAnsi="Times New Roman"/>
          <w:sz w:val="28"/>
          <w:szCs w:val="28"/>
          <w:lang w:val="uk-UA"/>
        </w:rPr>
        <w:t xml:space="preserve"> під певним гаслом. Вихованці разом із педагогами провод</w:t>
      </w:r>
      <w:r>
        <w:rPr>
          <w:rFonts w:ascii="Times New Roman" w:hAnsi="Times New Roman"/>
          <w:sz w:val="28"/>
          <w:szCs w:val="28"/>
          <w:lang w:val="uk-UA"/>
        </w:rPr>
        <w:t>ять</w:t>
      </w:r>
      <w:r w:rsidRPr="00250D9D">
        <w:rPr>
          <w:rFonts w:ascii="Times New Roman" w:hAnsi="Times New Roman"/>
          <w:sz w:val="28"/>
          <w:szCs w:val="28"/>
          <w:lang w:val="uk-UA"/>
        </w:rPr>
        <w:t xml:space="preserve"> тренінги, години спілкування, зустрічі, акції милосердя, рольові ігри, свята, конкурси, колективні творчі справи, години життєвого проектування, практикуми.</w:t>
      </w:r>
    </w:p>
    <w:p w:rsidR="007D4613" w:rsidRPr="00250D9D" w:rsidRDefault="007D4613" w:rsidP="00250D9D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  <w:lang w:val="uk-UA"/>
        </w:rPr>
      </w:pPr>
      <w:r w:rsidRPr="00250D9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50D9D">
        <w:rPr>
          <w:rFonts w:ascii="Times New Roman" w:hAnsi="Times New Roman"/>
          <w:sz w:val="28"/>
          <w:szCs w:val="28"/>
          <w:lang w:val="uk-UA"/>
        </w:rPr>
        <w:t>Вирішення завдань виховної роботи здійсню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250D9D">
        <w:rPr>
          <w:rFonts w:ascii="Times New Roman" w:hAnsi="Times New Roman"/>
          <w:sz w:val="28"/>
          <w:szCs w:val="28"/>
          <w:lang w:val="uk-UA"/>
        </w:rPr>
        <w:t xml:space="preserve"> за напрямами:</w:t>
      </w:r>
    </w:p>
    <w:p w:rsidR="007D4613" w:rsidRPr="00250D9D" w:rsidRDefault="007D4613" w:rsidP="00250D9D">
      <w:pPr>
        <w:numPr>
          <w:ilvl w:val="0"/>
          <w:numId w:val="2"/>
        </w:numPr>
        <w:spacing w:after="0" w:line="360" w:lineRule="auto"/>
        <w:ind w:left="90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50D9D">
        <w:rPr>
          <w:rFonts w:ascii="Times New Roman" w:hAnsi="Times New Roman"/>
          <w:sz w:val="28"/>
          <w:szCs w:val="28"/>
          <w:lang w:val="uk-UA"/>
        </w:rPr>
        <w:t xml:space="preserve">громадянське виховання </w:t>
      </w:r>
      <w:r w:rsidRPr="00250D9D">
        <w:rPr>
          <w:rFonts w:ascii="Times New Roman" w:hAnsi="Times New Roman"/>
          <w:bCs/>
          <w:sz w:val="28"/>
          <w:szCs w:val="28"/>
          <w:lang w:val="uk-UA"/>
        </w:rPr>
        <w:t>− виховні заходи до Дня Соборності України, Тиждень козацтва, Тиждень правових знань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250D9D">
        <w:rPr>
          <w:rFonts w:ascii="Times New Roman" w:hAnsi="Times New Roman"/>
          <w:bCs/>
          <w:sz w:val="28"/>
          <w:szCs w:val="28"/>
          <w:lang w:val="uk-UA"/>
        </w:rPr>
        <w:t xml:space="preserve">участь команди старшокласників у обласному брей-рингу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 </w:t>
      </w:r>
      <w:r w:rsidRPr="00250D9D">
        <w:rPr>
          <w:rFonts w:ascii="Times New Roman" w:hAnsi="Times New Roman"/>
          <w:bCs/>
          <w:sz w:val="28"/>
          <w:szCs w:val="28"/>
          <w:lang w:val="uk-UA"/>
        </w:rPr>
        <w:t>правових знань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7D4613" w:rsidRPr="00250D9D" w:rsidRDefault="007D4613" w:rsidP="00250D9D">
      <w:pPr>
        <w:numPr>
          <w:ilvl w:val="0"/>
          <w:numId w:val="2"/>
        </w:numPr>
        <w:spacing w:after="0" w:line="360" w:lineRule="auto"/>
        <w:ind w:left="90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50D9D">
        <w:rPr>
          <w:rFonts w:ascii="Times New Roman" w:hAnsi="Times New Roman"/>
          <w:sz w:val="28"/>
          <w:szCs w:val="28"/>
          <w:lang w:val="uk-UA"/>
        </w:rPr>
        <w:t>родинно-сімейне виховання – «Святвечір», «Щедрий вечір», «Різдво Христове», «Пасха», Тиждень берегині роду;</w:t>
      </w:r>
    </w:p>
    <w:p w:rsidR="007D4613" w:rsidRPr="00250D9D" w:rsidRDefault="007D4613" w:rsidP="00250D9D">
      <w:pPr>
        <w:numPr>
          <w:ilvl w:val="0"/>
          <w:numId w:val="2"/>
        </w:numPr>
        <w:spacing w:after="0" w:line="360" w:lineRule="auto"/>
        <w:ind w:left="90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50D9D">
        <w:rPr>
          <w:rFonts w:ascii="Times New Roman" w:hAnsi="Times New Roman"/>
          <w:sz w:val="28"/>
          <w:szCs w:val="28"/>
          <w:lang w:val="uk-UA"/>
        </w:rPr>
        <w:t>патріотичне виховання − «День Перемоги»,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0D9D">
        <w:rPr>
          <w:rFonts w:ascii="Times New Roman" w:hAnsi="Times New Roman"/>
          <w:bCs/>
          <w:sz w:val="28"/>
          <w:szCs w:val="28"/>
          <w:lang w:val="uk-UA"/>
        </w:rPr>
        <w:t>«День Збройних сил України»,</w:t>
      </w:r>
      <w:r w:rsidRPr="00250D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0D9D">
        <w:rPr>
          <w:rFonts w:ascii="Times New Roman" w:hAnsi="Times New Roman"/>
          <w:bCs/>
          <w:sz w:val="28"/>
          <w:szCs w:val="28"/>
          <w:lang w:val="uk-UA"/>
        </w:rPr>
        <w:t>«День партизанської слави»,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50D9D">
        <w:rPr>
          <w:rFonts w:ascii="Times New Roman" w:hAnsi="Times New Roman"/>
          <w:bCs/>
          <w:sz w:val="28"/>
          <w:szCs w:val="28"/>
          <w:lang w:val="uk-UA"/>
        </w:rPr>
        <w:t>«День вшанування учасників ліквідації наслідків аварії на Чорнобильській АЕС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250D9D">
        <w:rPr>
          <w:rFonts w:ascii="Times New Roman" w:hAnsi="Times New Roman"/>
          <w:sz w:val="28"/>
          <w:szCs w:val="28"/>
          <w:lang w:val="uk-UA"/>
        </w:rPr>
        <w:t xml:space="preserve"> тощо; </w:t>
      </w:r>
    </w:p>
    <w:p w:rsidR="007D4613" w:rsidRPr="00250D9D" w:rsidRDefault="007D4613" w:rsidP="00250D9D">
      <w:pPr>
        <w:numPr>
          <w:ilvl w:val="0"/>
          <w:numId w:val="2"/>
        </w:numPr>
        <w:spacing w:after="0" w:line="360" w:lineRule="auto"/>
        <w:ind w:left="90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50D9D">
        <w:rPr>
          <w:rFonts w:ascii="Times New Roman" w:hAnsi="Times New Roman"/>
          <w:sz w:val="28"/>
          <w:szCs w:val="28"/>
          <w:lang w:val="uk-UA"/>
        </w:rPr>
        <w:t>трудове виховання – участь у трудових акціях, суботниках, конкурсах на кращу спальну та класну кімнати;</w:t>
      </w:r>
    </w:p>
    <w:p w:rsidR="007D4613" w:rsidRPr="00250D9D" w:rsidRDefault="007D4613" w:rsidP="00250D9D">
      <w:pPr>
        <w:numPr>
          <w:ilvl w:val="0"/>
          <w:numId w:val="2"/>
        </w:numPr>
        <w:spacing w:after="0" w:line="360" w:lineRule="auto"/>
        <w:ind w:left="90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50D9D">
        <w:rPr>
          <w:rFonts w:ascii="Times New Roman" w:hAnsi="Times New Roman"/>
          <w:sz w:val="28"/>
          <w:szCs w:val="28"/>
        </w:rPr>
        <w:t>художньо-естетичне виховання</w:t>
      </w:r>
      <w:r w:rsidRPr="00250D9D">
        <w:rPr>
          <w:rFonts w:ascii="Times New Roman" w:hAnsi="Times New Roman"/>
          <w:sz w:val="28"/>
          <w:szCs w:val="28"/>
          <w:lang w:val="uk-UA"/>
        </w:rPr>
        <w:t xml:space="preserve"> – відвідування гуртків та участь у різноманітних конкурсах; </w:t>
      </w:r>
    </w:p>
    <w:p w:rsidR="007D4613" w:rsidRPr="00250D9D" w:rsidRDefault="007D4613" w:rsidP="00250D9D">
      <w:pPr>
        <w:numPr>
          <w:ilvl w:val="0"/>
          <w:numId w:val="2"/>
        </w:numPr>
        <w:spacing w:after="0" w:line="360" w:lineRule="auto"/>
        <w:ind w:left="90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50D9D">
        <w:rPr>
          <w:rFonts w:ascii="Times New Roman" w:hAnsi="Times New Roman"/>
          <w:sz w:val="28"/>
          <w:szCs w:val="28"/>
          <w:lang w:val="uk-UA"/>
        </w:rPr>
        <w:t>моральне виховання – тижні духовності, патріотичності, милосердя, культури почуттів, культури спілкування; проведено ряд заходів на теми моральності;</w:t>
      </w:r>
    </w:p>
    <w:p w:rsidR="007D4613" w:rsidRPr="00250D9D" w:rsidRDefault="007D4613" w:rsidP="00250D9D">
      <w:pPr>
        <w:numPr>
          <w:ilvl w:val="0"/>
          <w:numId w:val="2"/>
        </w:numPr>
        <w:spacing w:after="0" w:line="360" w:lineRule="auto"/>
        <w:ind w:left="90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50D9D">
        <w:rPr>
          <w:rFonts w:ascii="Times New Roman" w:hAnsi="Times New Roman"/>
          <w:sz w:val="28"/>
          <w:szCs w:val="28"/>
          <w:lang w:val="uk-UA"/>
        </w:rPr>
        <w:t xml:space="preserve">екологічне виховання – Тиждень бережливого ставлення до природи, Тиждень біології та екології, туристичні походи та екскурсії, виготовлення виробів з природного матеріалу; </w:t>
      </w:r>
    </w:p>
    <w:p w:rsidR="007D4613" w:rsidRPr="00250D9D" w:rsidRDefault="007D4613" w:rsidP="00250D9D">
      <w:pPr>
        <w:numPr>
          <w:ilvl w:val="0"/>
          <w:numId w:val="2"/>
        </w:numPr>
        <w:spacing w:after="0" w:line="360" w:lineRule="auto"/>
        <w:ind w:left="90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50D9D">
        <w:rPr>
          <w:rFonts w:ascii="Times New Roman" w:hAnsi="Times New Roman"/>
          <w:sz w:val="28"/>
          <w:szCs w:val="28"/>
        </w:rPr>
        <w:t>формування здорового способу життя</w:t>
      </w:r>
      <w:r w:rsidRPr="00250D9D">
        <w:rPr>
          <w:rFonts w:ascii="Times New Roman" w:hAnsi="Times New Roman"/>
          <w:sz w:val="28"/>
          <w:szCs w:val="28"/>
          <w:lang w:val="uk-UA"/>
        </w:rPr>
        <w:t xml:space="preserve"> та превентивне виховання − Тиждень превентивного виховання, дні здоров’я, тощо;</w:t>
      </w:r>
    </w:p>
    <w:p w:rsidR="007D4613" w:rsidRDefault="007D4613" w:rsidP="006E48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0D9D">
        <w:rPr>
          <w:rFonts w:ascii="Times New Roman" w:hAnsi="Times New Roman"/>
          <w:sz w:val="28"/>
          <w:szCs w:val="28"/>
          <w:lang w:val="uk-UA"/>
        </w:rPr>
        <w:t xml:space="preserve">З метою формування в учнів навичок здорового способу життя та відповідальної поведінки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250D9D">
        <w:rPr>
          <w:rFonts w:ascii="Times New Roman" w:hAnsi="Times New Roman"/>
          <w:sz w:val="28"/>
          <w:szCs w:val="28"/>
          <w:lang w:val="uk-UA"/>
        </w:rPr>
        <w:t xml:space="preserve"> школі проводяться факультативи, курси за вибором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50D9D">
        <w:rPr>
          <w:rFonts w:ascii="Times New Roman" w:hAnsi="Times New Roman"/>
          <w:sz w:val="28"/>
          <w:szCs w:val="28"/>
          <w:lang w:val="uk-UA"/>
        </w:rPr>
        <w:t xml:space="preserve"> діє мережа різноманітних гуртків: «Олімпієць» 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50D9D">
        <w:rPr>
          <w:rFonts w:ascii="Times New Roman" w:hAnsi="Times New Roman"/>
          <w:sz w:val="28"/>
          <w:szCs w:val="28"/>
          <w:lang w:val="uk-UA"/>
        </w:rPr>
        <w:t xml:space="preserve"> «Комп’ютер»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50D9D">
        <w:rPr>
          <w:rFonts w:ascii="Times New Roman" w:hAnsi="Times New Roman"/>
          <w:sz w:val="28"/>
          <w:szCs w:val="28"/>
          <w:lang w:val="uk-UA"/>
        </w:rPr>
        <w:t>«Майбутній дизайнер»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50D9D">
        <w:rPr>
          <w:rFonts w:ascii="Times New Roman" w:hAnsi="Times New Roman"/>
          <w:sz w:val="28"/>
          <w:szCs w:val="28"/>
          <w:lang w:val="uk-UA"/>
        </w:rPr>
        <w:t>«Комп’ютерні технології» за програмою Інтел «Шлях до успіху»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50D9D">
        <w:rPr>
          <w:rFonts w:ascii="Times New Roman" w:hAnsi="Times New Roman"/>
          <w:sz w:val="28"/>
          <w:szCs w:val="28"/>
          <w:lang w:val="uk-UA"/>
        </w:rPr>
        <w:t>«Цвіт папороті»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50D9D">
        <w:rPr>
          <w:rFonts w:ascii="Times New Roman" w:hAnsi="Times New Roman"/>
          <w:sz w:val="28"/>
          <w:szCs w:val="28"/>
          <w:lang w:val="uk-UA"/>
        </w:rPr>
        <w:t>Петриківський розпис)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50D9D">
        <w:rPr>
          <w:rFonts w:ascii="Times New Roman" w:hAnsi="Times New Roman"/>
          <w:sz w:val="28"/>
          <w:szCs w:val="28"/>
          <w:lang w:val="uk-UA"/>
        </w:rPr>
        <w:t>«Чарівні намистинки»</w:t>
      </w:r>
      <w:r>
        <w:rPr>
          <w:rFonts w:ascii="Times New Roman" w:hAnsi="Times New Roman"/>
          <w:sz w:val="28"/>
          <w:szCs w:val="28"/>
          <w:lang w:val="uk-UA"/>
        </w:rPr>
        <w:t>, а</w:t>
      </w:r>
      <w:r w:rsidRPr="00250D9D">
        <w:rPr>
          <w:rFonts w:ascii="Times New Roman" w:hAnsi="Times New Roman"/>
          <w:sz w:val="28"/>
          <w:szCs w:val="28"/>
          <w:lang w:val="uk-UA"/>
        </w:rPr>
        <w:t>рт-клуб «Сяйво писанки»</w:t>
      </w:r>
      <w:r>
        <w:rPr>
          <w:rFonts w:ascii="Times New Roman" w:hAnsi="Times New Roman"/>
          <w:sz w:val="28"/>
          <w:szCs w:val="28"/>
          <w:lang w:val="uk-UA"/>
        </w:rPr>
        <w:t>, а</w:t>
      </w:r>
      <w:r w:rsidRPr="00250D9D">
        <w:rPr>
          <w:rFonts w:ascii="Times New Roman" w:hAnsi="Times New Roman"/>
          <w:sz w:val="28"/>
          <w:szCs w:val="28"/>
          <w:lang w:val="uk-UA"/>
        </w:rPr>
        <w:t>нсамбль «Орфей»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50D9D">
        <w:rPr>
          <w:rFonts w:ascii="Times New Roman" w:hAnsi="Times New Roman"/>
          <w:sz w:val="28"/>
          <w:szCs w:val="28"/>
          <w:lang w:val="uk-UA"/>
        </w:rPr>
        <w:t xml:space="preserve"> «Креатив» (Декоративно-ужиткове мистецтво)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50D9D">
        <w:rPr>
          <w:rFonts w:ascii="Times New Roman" w:hAnsi="Times New Roman"/>
          <w:sz w:val="28"/>
          <w:szCs w:val="28"/>
          <w:lang w:val="uk-UA"/>
        </w:rPr>
        <w:t>«Перукарська майстерність»</w:t>
      </w:r>
      <w:r>
        <w:rPr>
          <w:rFonts w:ascii="Times New Roman" w:hAnsi="Times New Roman"/>
          <w:sz w:val="28"/>
          <w:szCs w:val="28"/>
          <w:lang w:val="uk-UA"/>
        </w:rPr>
        <w:t>, г</w:t>
      </w:r>
      <w:r w:rsidRPr="00250D9D">
        <w:rPr>
          <w:rFonts w:ascii="Times New Roman" w:hAnsi="Times New Roman"/>
          <w:sz w:val="28"/>
          <w:szCs w:val="28"/>
          <w:lang w:val="uk-UA"/>
        </w:rPr>
        <w:t>урток легкої атлетики (ДСЮШ)</w:t>
      </w:r>
      <w:r>
        <w:rPr>
          <w:rFonts w:ascii="Times New Roman" w:hAnsi="Times New Roman"/>
          <w:sz w:val="28"/>
          <w:szCs w:val="28"/>
          <w:lang w:val="uk-UA"/>
        </w:rPr>
        <w:t>, т</w:t>
      </w:r>
      <w:r w:rsidRPr="00250D9D">
        <w:rPr>
          <w:rFonts w:ascii="Times New Roman" w:hAnsi="Times New Roman"/>
          <w:sz w:val="28"/>
          <w:szCs w:val="28"/>
          <w:lang w:val="uk-UA"/>
        </w:rPr>
        <w:t>анцювальний гурток«</w:t>
      </w:r>
      <w:r w:rsidRPr="00250D9D">
        <w:rPr>
          <w:rFonts w:ascii="Times New Roman" w:hAnsi="Times New Roman"/>
          <w:sz w:val="28"/>
          <w:szCs w:val="28"/>
          <w:lang w:val="en-US"/>
        </w:rPr>
        <w:t>MAXSUMYM</w:t>
      </w:r>
      <w:r w:rsidRPr="00250D9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м</w:t>
      </w:r>
      <w:r w:rsidRPr="00250D9D">
        <w:rPr>
          <w:rFonts w:ascii="Times New Roman" w:hAnsi="Times New Roman"/>
          <w:sz w:val="28"/>
          <w:szCs w:val="28"/>
          <w:lang w:val="uk-UA"/>
        </w:rPr>
        <w:t>узичний гурток «Веселі нотки»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50D9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період </w:t>
      </w:r>
      <w:r w:rsidRPr="00250D9D">
        <w:rPr>
          <w:rFonts w:ascii="Times New Roman" w:hAnsi="Times New Roman"/>
          <w:sz w:val="28"/>
          <w:szCs w:val="28"/>
        </w:rPr>
        <w:t xml:space="preserve">канікул складається план роботи з учнями з метою зайнятості дітей у вільний від навчання час. Плануються різноманітні екскурсії, ігрові та розважальні заходи, зустрічі, тематичні вечори, подорожі, які забезпечують цікаве та змістовне дозвілля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250D9D">
        <w:rPr>
          <w:rFonts w:ascii="Times New Roman" w:hAnsi="Times New Roman"/>
          <w:sz w:val="28"/>
          <w:szCs w:val="28"/>
        </w:rPr>
        <w:t xml:space="preserve"> сприяють попередженню протиправних дій серед учнів</w:t>
      </w:r>
      <w:r w:rsidRPr="00250D9D">
        <w:rPr>
          <w:rFonts w:ascii="Times New Roman" w:hAnsi="Times New Roman"/>
          <w:sz w:val="28"/>
          <w:szCs w:val="28"/>
          <w:lang w:val="uk-UA"/>
        </w:rPr>
        <w:t>.</w:t>
      </w:r>
    </w:p>
    <w:p w:rsidR="007D4613" w:rsidRPr="00577E9E" w:rsidRDefault="007D4613" w:rsidP="006E48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7E9E">
        <w:rPr>
          <w:rFonts w:ascii="Times New Roman" w:hAnsi="Times New Roman"/>
          <w:sz w:val="28"/>
          <w:szCs w:val="28"/>
          <w:lang w:val="uk-UA"/>
        </w:rPr>
        <w:t>У 2013-2014 навчальному році, в рамках проекту «Крок у майбутнє», продовжував діяти соціальний центр для дівчат та хлопців 10-11 класів, які успішно проживали в ньому та набули життєвих навичок. Метою проекту є забезпечення умов проживання й господарювання, які б наближалися до сімейних, та опанування старшокласниками практичними навичками самостійного побутового господарювання. Соціальний центр забезпечений сучасними меблями та найновішим кухонним приладдям, комп’ютерною технікою, телевізором, що дозволяє учням школи-інтернату не тільки самостійно жити та готувати домашні завдання, а й набувати практично життєвих навичок.</w:t>
      </w:r>
    </w:p>
    <w:p w:rsidR="007D4613" w:rsidRDefault="007D4613" w:rsidP="00577E9E">
      <w:pPr>
        <w:spacing w:after="0" w:line="360" w:lineRule="auto"/>
        <w:ind w:firstLine="3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Школа забезпечена всім необхідним для навчання та проживання учнів, в ній дотримуються всіх належних санітарно-гігієнічних умов. Заклад має власну водонапірну башню, яка забезпечує учнів якісною питною водою, підтримується стабільний температурний режим протягом усього року, є окремі душові</w:t>
      </w:r>
      <w:r w:rsidRPr="00577E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туалетні кімнати, які забезпечені всім необхідним для особистої гігієни. У школі організоване п’ятиразове раціональне харчування. </w:t>
      </w:r>
    </w:p>
    <w:p w:rsidR="007D4613" w:rsidRPr="00577E9E" w:rsidRDefault="007D4613" w:rsidP="00577E9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577E9E">
        <w:rPr>
          <w:rFonts w:ascii="Times New Roman" w:hAnsi="Times New Roman"/>
          <w:sz w:val="28"/>
          <w:szCs w:val="28"/>
          <w:lang w:val="uk-UA"/>
        </w:rPr>
        <w:t>В планах на майбутнє є створення кабінету «Основ здоров’я»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77E9E">
        <w:t xml:space="preserve"> </w:t>
      </w:r>
      <w:r w:rsidRPr="00577E9E">
        <w:rPr>
          <w:rFonts w:ascii="Times New Roman" w:hAnsi="Times New Roman"/>
          <w:sz w:val="28"/>
          <w:szCs w:val="28"/>
          <w:lang w:val="uk-UA"/>
        </w:rPr>
        <w:t>впровадження тижня соціально-психологічної служби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77E9E">
        <w:rPr>
          <w:rFonts w:ascii="Times New Roman" w:hAnsi="Times New Roman"/>
          <w:sz w:val="28"/>
          <w:szCs w:val="28"/>
          <w:lang w:val="uk-UA"/>
        </w:rPr>
        <w:t>поновлення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робот</w:t>
      </w:r>
      <w:r w:rsidRPr="00577E9E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7E9E">
        <w:rPr>
          <w:rFonts w:ascii="Times New Roman" w:hAnsi="Times New Roman"/>
          <w:sz w:val="28"/>
          <w:szCs w:val="28"/>
          <w:lang w:val="uk-UA"/>
        </w:rPr>
        <w:t>шкільного бару.</w:t>
      </w:r>
    </w:p>
    <w:sectPr w:rsidR="007D4613" w:rsidRPr="00577E9E" w:rsidSect="00250D9D">
      <w:footerReference w:type="even" r:id="rId7"/>
      <w:footerReference w:type="default" r:id="rId8"/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613" w:rsidRDefault="007D4613">
      <w:r>
        <w:separator/>
      </w:r>
    </w:p>
  </w:endnote>
  <w:endnote w:type="continuationSeparator" w:id="0">
    <w:p w:rsidR="007D4613" w:rsidRDefault="007D4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13" w:rsidRDefault="007D4613" w:rsidP="00E43B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613" w:rsidRDefault="007D4613" w:rsidP="001205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13" w:rsidRDefault="007D4613" w:rsidP="00E43B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D4613" w:rsidRDefault="007D4613" w:rsidP="0012058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613" w:rsidRDefault="007D4613">
      <w:r>
        <w:separator/>
      </w:r>
    </w:p>
  </w:footnote>
  <w:footnote w:type="continuationSeparator" w:id="0">
    <w:p w:rsidR="007D4613" w:rsidRDefault="007D4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25DEE"/>
    <w:multiLevelType w:val="hybridMultilevel"/>
    <w:tmpl w:val="70F4C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B72031"/>
    <w:multiLevelType w:val="hybridMultilevel"/>
    <w:tmpl w:val="9262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BD4"/>
    <w:rsid w:val="00024F6F"/>
    <w:rsid w:val="0012058A"/>
    <w:rsid w:val="001D0A34"/>
    <w:rsid w:val="00250D9D"/>
    <w:rsid w:val="002524B8"/>
    <w:rsid w:val="002940A0"/>
    <w:rsid w:val="002B2530"/>
    <w:rsid w:val="00326985"/>
    <w:rsid w:val="004047EA"/>
    <w:rsid w:val="004501C8"/>
    <w:rsid w:val="00485971"/>
    <w:rsid w:val="005739DB"/>
    <w:rsid w:val="00577E9E"/>
    <w:rsid w:val="0061662B"/>
    <w:rsid w:val="006560B6"/>
    <w:rsid w:val="00657784"/>
    <w:rsid w:val="00691FFB"/>
    <w:rsid w:val="00696DDE"/>
    <w:rsid w:val="006A1650"/>
    <w:rsid w:val="006B1B14"/>
    <w:rsid w:val="006E48A6"/>
    <w:rsid w:val="00757E97"/>
    <w:rsid w:val="00770BD4"/>
    <w:rsid w:val="00785255"/>
    <w:rsid w:val="007D4613"/>
    <w:rsid w:val="00833830"/>
    <w:rsid w:val="00894B3A"/>
    <w:rsid w:val="008D0C95"/>
    <w:rsid w:val="009C0366"/>
    <w:rsid w:val="009D5D28"/>
    <w:rsid w:val="009F7225"/>
    <w:rsid w:val="00A265A0"/>
    <w:rsid w:val="00A3169B"/>
    <w:rsid w:val="00B14579"/>
    <w:rsid w:val="00B225C1"/>
    <w:rsid w:val="00BB0BB2"/>
    <w:rsid w:val="00BD4EAA"/>
    <w:rsid w:val="00BE39C0"/>
    <w:rsid w:val="00C22091"/>
    <w:rsid w:val="00C2546A"/>
    <w:rsid w:val="00C35469"/>
    <w:rsid w:val="00CB5852"/>
    <w:rsid w:val="00D3128E"/>
    <w:rsid w:val="00D93A13"/>
    <w:rsid w:val="00DF77DA"/>
    <w:rsid w:val="00E14794"/>
    <w:rsid w:val="00E34B41"/>
    <w:rsid w:val="00E43B46"/>
    <w:rsid w:val="00F109E8"/>
    <w:rsid w:val="00F30851"/>
    <w:rsid w:val="00F31E44"/>
    <w:rsid w:val="00F559E6"/>
    <w:rsid w:val="00F8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13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16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0A34"/>
    <w:pPr>
      <w:ind w:left="720"/>
      <w:contextualSpacing/>
    </w:pPr>
  </w:style>
  <w:style w:type="table" w:styleId="MediumShading1-Accent3">
    <w:name w:val="Medium Shading 1 Accent 3"/>
    <w:basedOn w:val="TableNormal"/>
    <w:uiPriority w:val="99"/>
    <w:rsid w:val="001D0A3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rsid w:val="001D0A3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99"/>
    <w:rsid w:val="00833830"/>
    <w:pPr>
      <w:spacing w:after="0" w:line="240" w:lineRule="auto"/>
      <w:jc w:val="both"/>
    </w:pPr>
    <w:rPr>
      <w:rFonts w:ascii="Times New Roman" w:hAnsi="Times New Roman"/>
      <w:b/>
      <w:sz w:val="32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3830"/>
    <w:rPr>
      <w:rFonts w:ascii="Times New Roman" w:hAnsi="Times New Roman" w:cs="Times New Roman"/>
      <w:b/>
      <w:sz w:val="20"/>
      <w:szCs w:val="20"/>
      <w:lang w:val="uk-UA"/>
    </w:rPr>
  </w:style>
  <w:style w:type="paragraph" w:styleId="Footer">
    <w:name w:val="footer"/>
    <w:basedOn w:val="Normal"/>
    <w:link w:val="FooterChar"/>
    <w:uiPriority w:val="99"/>
    <w:rsid w:val="0012058A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8B7"/>
    <w:rPr>
      <w:lang w:val="ru-RU" w:eastAsia="ru-RU"/>
    </w:rPr>
  </w:style>
  <w:style w:type="character" w:styleId="PageNumber">
    <w:name w:val="page number"/>
    <w:basedOn w:val="DefaultParagraphFont"/>
    <w:uiPriority w:val="99"/>
    <w:rsid w:val="001205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7</Pages>
  <Words>7151</Words>
  <Characters>4077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</dc:creator>
  <cp:keywords/>
  <dc:description/>
  <cp:lastModifiedBy>Альна Софієнко</cp:lastModifiedBy>
  <cp:revision>18</cp:revision>
  <cp:lastPrinted>2014-05-21T05:46:00Z</cp:lastPrinted>
  <dcterms:created xsi:type="dcterms:W3CDTF">2014-05-21T05:44:00Z</dcterms:created>
  <dcterms:modified xsi:type="dcterms:W3CDTF">2014-06-26T07:22:00Z</dcterms:modified>
</cp:coreProperties>
</file>