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73" w:rsidRDefault="00730E73" w:rsidP="00730E73">
      <w:pPr>
        <w:ind w:firstLine="567"/>
        <w:jc w:val="center"/>
        <w:rPr>
          <w:b/>
          <w:bCs/>
          <w:color w:val="1A1A1A"/>
          <w:szCs w:val="28"/>
          <w:lang w:val="uk-UA"/>
        </w:rPr>
      </w:pPr>
      <w:r>
        <w:rPr>
          <w:b/>
          <w:bCs/>
          <w:color w:val="1A1A1A"/>
          <w:szCs w:val="28"/>
          <w:lang w:val="uk-UA"/>
        </w:rPr>
        <w:t xml:space="preserve">Модель превентивної освіти </w:t>
      </w:r>
      <w:proofErr w:type="spellStart"/>
      <w:r>
        <w:rPr>
          <w:b/>
          <w:bCs/>
          <w:color w:val="1A1A1A"/>
          <w:szCs w:val="28"/>
          <w:lang w:val="uk-UA"/>
        </w:rPr>
        <w:t>Козачолопанського</w:t>
      </w:r>
      <w:proofErr w:type="spellEnd"/>
      <w:r>
        <w:rPr>
          <w:b/>
          <w:bCs/>
          <w:color w:val="1A1A1A"/>
          <w:szCs w:val="28"/>
          <w:lang w:val="uk-UA"/>
        </w:rPr>
        <w:t xml:space="preserve"> НВК –  </w:t>
      </w:r>
    </w:p>
    <w:p w:rsidR="00663D42" w:rsidRPr="00730E73" w:rsidRDefault="00730E73" w:rsidP="00730E73">
      <w:pPr>
        <w:ind w:firstLine="567"/>
        <w:jc w:val="center"/>
        <w:rPr>
          <w:color w:val="1A1A1A"/>
          <w:szCs w:val="28"/>
          <w:lang w:val="uk-UA"/>
        </w:rPr>
      </w:pPr>
      <w:r>
        <w:rPr>
          <w:b/>
          <w:bCs/>
          <w:color w:val="1A1A1A"/>
          <w:szCs w:val="28"/>
          <w:lang w:val="uk-UA"/>
        </w:rPr>
        <w:t>Школи, дружньої до дитини</w:t>
      </w:r>
    </w:p>
    <w:p w:rsidR="00663D42" w:rsidRDefault="00663D42" w:rsidP="00663D42">
      <w:pPr>
        <w:ind w:firstLine="142"/>
        <w:jc w:val="center"/>
        <w:rPr>
          <w:b/>
          <w:bCs/>
          <w:color w:val="1A1A1A"/>
          <w:szCs w:val="28"/>
          <w:lang w:val="uk-UA"/>
        </w:rPr>
      </w:pPr>
      <w:r>
        <w:rPr>
          <w:b/>
          <w:bCs/>
          <w:noProof/>
          <w:color w:val="1A1A1A"/>
          <w:szCs w:val="28"/>
          <w:lang w:eastAsia="ru-RU"/>
        </w:rPr>
        <w:drawing>
          <wp:inline distT="0" distB="0" distL="0" distR="0">
            <wp:extent cx="6006394" cy="824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33" cy="8254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D42" w:rsidRDefault="00663D42" w:rsidP="00663D42">
      <w:pPr>
        <w:ind w:firstLine="567"/>
        <w:jc w:val="center"/>
        <w:rPr>
          <w:b/>
          <w:bCs/>
          <w:color w:val="1A1A1A"/>
          <w:szCs w:val="28"/>
          <w:lang w:val="uk-UA"/>
        </w:rPr>
      </w:pPr>
    </w:p>
    <w:p w:rsidR="00663D42" w:rsidRDefault="00663D42" w:rsidP="00663D42">
      <w:pPr>
        <w:ind w:firstLine="567"/>
        <w:rPr>
          <w:color w:val="1A1A1A"/>
          <w:szCs w:val="28"/>
          <w:lang w:val="uk-UA"/>
        </w:rPr>
      </w:pPr>
      <w:r>
        <w:rPr>
          <w:color w:val="1A1A1A"/>
          <w:szCs w:val="28"/>
          <w:lang w:val="uk-UA"/>
        </w:rPr>
        <w:lastRenderedPageBreak/>
        <w:t xml:space="preserve">Вся діяльність </w:t>
      </w:r>
      <w:proofErr w:type="spellStart"/>
      <w:r>
        <w:rPr>
          <w:color w:val="1A1A1A"/>
          <w:szCs w:val="28"/>
          <w:lang w:val="uk-UA"/>
        </w:rPr>
        <w:t>Козачолопанського</w:t>
      </w:r>
      <w:proofErr w:type="spellEnd"/>
      <w:r>
        <w:rPr>
          <w:color w:val="1A1A1A"/>
          <w:szCs w:val="28"/>
          <w:lang w:val="uk-UA"/>
        </w:rPr>
        <w:t xml:space="preserve"> навчально-виховного комплексу «Загальноосвітня школа І-ІІІ ступенів – дошкільний заклад» </w:t>
      </w:r>
      <w:proofErr w:type="spellStart"/>
      <w:r>
        <w:rPr>
          <w:color w:val="1A1A1A"/>
          <w:szCs w:val="28"/>
          <w:lang w:val="uk-UA"/>
        </w:rPr>
        <w:t>Дергачівської</w:t>
      </w:r>
      <w:proofErr w:type="spellEnd"/>
      <w:r>
        <w:rPr>
          <w:color w:val="1A1A1A"/>
          <w:szCs w:val="28"/>
          <w:lang w:val="uk-UA"/>
        </w:rPr>
        <w:t xml:space="preserve"> районної ради Харківської області (далі – </w:t>
      </w:r>
      <w:proofErr w:type="spellStart"/>
      <w:r>
        <w:rPr>
          <w:color w:val="1A1A1A"/>
          <w:szCs w:val="28"/>
          <w:lang w:val="uk-UA"/>
        </w:rPr>
        <w:t>Козачолопанський</w:t>
      </w:r>
      <w:proofErr w:type="spellEnd"/>
      <w:r>
        <w:rPr>
          <w:color w:val="1A1A1A"/>
          <w:szCs w:val="28"/>
          <w:lang w:val="uk-UA"/>
        </w:rPr>
        <w:t xml:space="preserve"> НВК) як Школи, дружньої до дитини спрямована на формування життєвих </w:t>
      </w:r>
      <w:proofErr w:type="spellStart"/>
      <w:r>
        <w:rPr>
          <w:color w:val="1A1A1A"/>
          <w:szCs w:val="28"/>
          <w:lang w:val="uk-UA"/>
        </w:rPr>
        <w:t>компетенцій</w:t>
      </w:r>
      <w:proofErr w:type="spellEnd"/>
      <w:r>
        <w:rPr>
          <w:color w:val="1A1A1A"/>
          <w:szCs w:val="28"/>
          <w:lang w:val="uk-UA"/>
        </w:rPr>
        <w:t xml:space="preserve">, активної життєвої позиції,  розуміння та реалізації  особистості, готовності до виконання різних соціальних ролей,  уміння орієнтуватися та адаптуватися у складних життєвих ситуаціях, розв’язувати конфлікти на основі принципів толерантності, гуманізму, </w:t>
      </w:r>
      <w:proofErr w:type="spellStart"/>
      <w:r>
        <w:rPr>
          <w:color w:val="1A1A1A"/>
          <w:szCs w:val="28"/>
          <w:lang w:val="uk-UA"/>
        </w:rPr>
        <w:t>дитиноцентризму</w:t>
      </w:r>
      <w:proofErr w:type="spellEnd"/>
      <w:r>
        <w:rPr>
          <w:color w:val="1A1A1A"/>
          <w:szCs w:val="28"/>
          <w:lang w:val="uk-UA"/>
        </w:rPr>
        <w:t xml:space="preserve">, </w:t>
      </w:r>
      <w:proofErr w:type="spellStart"/>
      <w:r>
        <w:rPr>
          <w:color w:val="1A1A1A"/>
          <w:szCs w:val="28"/>
          <w:lang w:val="uk-UA"/>
        </w:rPr>
        <w:t>природовідповідності</w:t>
      </w:r>
      <w:proofErr w:type="spellEnd"/>
      <w:r>
        <w:rPr>
          <w:color w:val="1A1A1A"/>
          <w:szCs w:val="28"/>
          <w:lang w:val="uk-UA"/>
        </w:rPr>
        <w:t xml:space="preserve">, </w:t>
      </w:r>
      <w:proofErr w:type="spellStart"/>
      <w:r>
        <w:rPr>
          <w:color w:val="1A1A1A"/>
          <w:szCs w:val="28"/>
          <w:lang w:val="uk-UA"/>
        </w:rPr>
        <w:t>культуровідповідності</w:t>
      </w:r>
      <w:proofErr w:type="spellEnd"/>
      <w:r>
        <w:rPr>
          <w:color w:val="1A1A1A"/>
          <w:szCs w:val="28"/>
          <w:lang w:val="uk-UA"/>
        </w:rPr>
        <w:t xml:space="preserve">, цілісності, превентивності, розвитку особистісного потенціалу, діяльної опосередкованості у набутті позитивного соціального досвіду, соціального партнерства. Тому педагогічним колективом визначено </w:t>
      </w:r>
      <w:r>
        <w:rPr>
          <w:b/>
          <w:bCs/>
          <w:i/>
          <w:iCs/>
          <w:color w:val="1A1A1A"/>
          <w:szCs w:val="28"/>
          <w:lang w:val="uk-UA"/>
        </w:rPr>
        <w:t>мету</w:t>
      </w:r>
      <w:r>
        <w:rPr>
          <w:color w:val="1A1A1A"/>
          <w:szCs w:val="28"/>
          <w:lang w:val="uk-UA"/>
        </w:rPr>
        <w:t xml:space="preserve">: 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 </w:t>
      </w:r>
    </w:p>
    <w:p w:rsidR="00663D42" w:rsidRDefault="00663D42" w:rsidP="00663D42">
      <w:pPr>
        <w:ind w:firstLine="567"/>
        <w:rPr>
          <w:color w:val="1A1A1A"/>
          <w:szCs w:val="28"/>
          <w:lang w:val="uk-UA"/>
        </w:rPr>
      </w:pPr>
      <w:r>
        <w:rPr>
          <w:color w:val="1A1A1A"/>
          <w:szCs w:val="28"/>
          <w:lang w:val="uk-UA"/>
        </w:rPr>
        <w:t xml:space="preserve">Для досягнення поставленої мети визначено </w:t>
      </w:r>
      <w:r>
        <w:rPr>
          <w:b/>
          <w:bCs/>
          <w:i/>
          <w:iCs/>
          <w:color w:val="1A1A1A"/>
          <w:szCs w:val="28"/>
          <w:lang w:val="uk-UA"/>
        </w:rPr>
        <w:t>основні завдання</w:t>
      </w:r>
      <w:r>
        <w:rPr>
          <w:color w:val="1A1A1A"/>
          <w:szCs w:val="28"/>
          <w:lang w:val="uk-UA"/>
        </w:rPr>
        <w:t xml:space="preserve">: 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 </w:t>
      </w:r>
      <w:r>
        <w:rPr>
          <w:color w:val="1A1A1A"/>
          <w:spacing w:val="-1"/>
          <w:szCs w:val="28"/>
          <w:lang w:val="uk-UA"/>
        </w:rPr>
        <w:t>прогнозування і запобігання для життя і здоров’я учнів та вчителів</w:t>
      </w:r>
      <w:r w:rsidRPr="00233707">
        <w:rPr>
          <w:color w:val="1A1A1A"/>
          <w:spacing w:val="-1"/>
          <w:szCs w:val="28"/>
          <w:lang w:val="uk-UA"/>
        </w:rPr>
        <w:t xml:space="preserve"> </w:t>
      </w:r>
      <w:r>
        <w:rPr>
          <w:color w:val="1A1A1A"/>
          <w:spacing w:val="-1"/>
          <w:szCs w:val="28"/>
          <w:lang w:val="uk-UA"/>
        </w:rPr>
        <w:t>можливим ризикам і небезпекам, які можуть виникнути у приміщенні закладу, на її території, у межах місцевої громади;</w:t>
      </w:r>
      <w:r>
        <w:rPr>
          <w:color w:val="1A1A1A"/>
          <w:szCs w:val="28"/>
          <w:lang w:val="uk-UA"/>
        </w:rPr>
        <w:t xml:space="preserve"> залучення учнів і батьків до реалізації проекту</w:t>
      </w:r>
      <w:r>
        <w:rPr>
          <w:color w:val="1A1A1A"/>
          <w:spacing w:val="-1"/>
          <w:szCs w:val="28"/>
          <w:lang w:val="uk-UA"/>
        </w:rPr>
        <w:t xml:space="preserve"> Школи, дружньої до дитини, </w:t>
      </w:r>
      <w:r>
        <w:rPr>
          <w:color w:val="1A1A1A"/>
          <w:szCs w:val="28"/>
          <w:lang w:val="uk-UA"/>
        </w:rPr>
        <w:t xml:space="preserve">узгодження співпраці суб’єктів педагогічної взаємодії; удосконалення наявних і розроблення нових ефективних моделей соціального партнерства навчального закладу з іншими соціальними установами, дотичними до вирішення проблем навчання і виховання учнів; посилення ролі навчального закладу в активізації діяльності місцевої громади з метою забезпечення цілісного благополуччя учнів НВК; налагодження інформаційного супроводу </w:t>
      </w:r>
      <w:r>
        <w:rPr>
          <w:color w:val="1A1A1A"/>
          <w:szCs w:val="28"/>
          <w:lang w:val="uk-UA"/>
        </w:rPr>
        <w:lastRenderedPageBreak/>
        <w:t xml:space="preserve">і створення системи моніторингу діяльності Школи, дружньої до дитини; формування відповідального ставлення до власного здоров’я і здоров’я оточуючих; розвиток рис, що стосуються збереження і зміцнення здоров’я, через діяльність з оздоровлення умов життя – праці, відпочинку, побуту. </w:t>
      </w:r>
    </w:p>
    <w:p w:rsidR="00663D42" w:rsidRDefault="00663D42" w:rsidP="00663D42">
      <w:pPr>
        <w:ind w:firstLine="567"/>
        <w:rPr>
          <w:iCs/>
          <w:color w:val="1A1A1A"/>
          <w:szCs w:val="28"/>
          <w:lang w:val="uk-UA"/>
        </w:rPr>
      </w:pPr>
      <w:r>
        <w:rPr>
          <w:b/>
          <w:bCs/>
          <w:i/>
          <w:iCs/>
          <w:color w:val="1A1A1A"/>
          <w:szCs w:val="28"/>
          <w:lang w:val="uk-UA"/>
        </w:rPr>
        <w:t xml:space="preserve">Суб’єктами </w:t>
      </w:r>
      <w:r>
        <w:rPr>
          <w:color w:val="1A1A1A"/>
          <w:szCs w:val="28"/>
          <w:lang w:val="uk-UA"/>
        </w:rPr>
        <w:t xml:space="preserve">навчально-виховного процесу є: </w:t>
      </w:r>
      <w:r>
        <w:rPr>
          <w:i/>
          <w:color w:val="1A1A1A"/>
          <w:szCs w:val="28"/>
          <w:lang w:val="uk-UA"/>
        </w:rPr>
        <w:t>уч</w:t>
      </w:r>
      <w:r w:rsidRPr="009B3F4D">
        <w:rPr>
          <w:i/>
          <w:color w:val="1A1A1A"/>
          <w:szCs w:val="28"/>
          <w:lang w:val="uk-UA"/>
        </w:rPr>
        <w:t>н</w:t>
      </w:r>
      <w:r>
        <w:rPr>
          <w:i/>
          <w:color w:val="1A1A1A"/>
          <w:szCs w:val="28"/>
          <w:lang w:val="uk-UA"/>
        </w:rPr>
        <w:t>і</w:t>
      </w:r>
      <w:r>
        <w:rPr>
          <w:color w:val="1A1A1A"/>
          <w:szCs w:val="28"/>
          <w:lang w:val="uk-UA"/>
        </w:rPr>
        <w:t xml:space="preserve">, які підвищують рівень знань про здоров'я, дотримуються норм здорового способу життя, підтримують позитивний психологічний мікроклімат в учнівському колективі, у сім'ї, на вулиці, сприяють здоровим стосункам між учнями, педагогами, батьками та серед населення в цілому; </w:t>
      </w:r>
      <w:r>
        <w:rPr>
          <w:i/>
          <w:iCs/>
          <w:color w:val="1A1A1A"/>
          <w:szCs w:val="28"/>
          <w:lang w:val="uk-UA"/>
        </w:rPr>
        <w:t>учителі</w:t>
      </w:r>
      <w:r>
        <w:rPr>
          <w:color w:val="1A1A1A"/>
          <w:szCs w:val="28"/>
          <w:lang w:val="uk-UA"/>
        </w:rPr>
        <w:t xml:space="preserve">, які сприяють збереженню здоров'я учнів, формують здоровий спосіб їх життя, створюють у закладі позитивний мікроклімат, надають можливість розкрити найбільш повно свої фізичні, психічні та соціальні можливості, сприяють здоровим стосункам між учнями, педагогами, батьками, особистим прикладом утверджують культуру взаємостосунків між учнями і колегами, виконують статут закладу, правила внутрішнього розпорядку, постійно підвищують рівень знань із питань гігієни, психології спілкування, здійснюють соціально-правовий захист дітей; приймають рішення щодо участі дитини в оздоровчій діяльності закладу, беруть участь у заходах, спрямованих на поліпшення організації оздоровчо-освітнього процесу; </w:t>
      </w:r>
      <w:r>
        <w:rPr>
          <w:i/>
          <w:iCs/>
          <w:color w:val="1A1A1A"/>
          <w:szCs w:val="28"/>
          <w:lang w:val="uk-UA"/>
        </w:rPr>
        <w:t xml:space="preserve">адміністрація закладу, </w:t>
      </w:r>
      <w:r w:rsidRPr="009B3F4D">
        <w:rPr>
          <w:iCs/>
          <w:color w:val="1A1A1A"/>
          <w:szCs w:val="28"/>
          <w:lang w:val="uk-UA"/>
        </w:rPr>
        <w:t xml:space="preserve">яка </w:t>
      </w:r>
      <w:r>
        <w:rPr>
          <w:color w:val="1A1A1A"/>
          <w:szCs w:val="28"/>
          <w:lang w:val="uk-UA"/>
        </w:rPr>
        <w:t xml:space="preserve">забезпечує дотримання вимог охорони життя і здоров'я учнів, створює необхідні умови для превентивної освіти та виховання учнів, їхньої участі в оздоровчо-освітніх заходах в позаурочний час; забезпечує дотримання санітарно-гігієнічних норм і техніки безпеки, спрямовує діяльність педагогічного колективу на запобігання вживанню учнями алкоголю та наркотиків, іншим шкідливим звичкам для здоров'я, контролює організацію харчування і медичного обслуговування учнів, превентивні заходи проти прояву насильства; </w:t>
      </w:r>
      <w:r>
        <w:rPr>
          <w:i/>
          <w:iCs/>
          <w:color w:val="1A1A1A"/>
          <w:szCs w:val="28"/>
          <w:lang w:val="uk-UA"/>
        </w:rPr>
        <w:t xml:space="preserve">батьки, </w:t>
      </w:r>
      <w:r w:rsidRPr="009B3F4D">
        <w:rPr>
          <w:iCs/>
          <w:color w:val="1A1A1A"/>
          <w:szCs w:val="28"/>
          <w:lang w:val="uk-UA"/>
        </w:rPr>
        <w:t>що</w:t>
      </w:r>
      <w:r>
        <w:rPr>
          <w:i/>
          <w:iCs/>
          <w:color w:val="1A1A1A"/>
          <w:szCs w:val="28"/>
          <w:lang w:val="uk-UA"/>
        </w:rPr>
        <w:t xml:space="preserve"> </w:t>
      </w:r>
      <w:r>
        <w:rPr>
          <w:color w:val="1A1A1A"/>
          <w:szCs w:val="28"/>
          <w:lang w:val="uk-UA"/>
        </w:rPr>
        <w:t xml:space="preserve">забезпечують умови для збереження і зміцнення здоров'я дітей у сім'ї з тим, щоб процес формування культури здоров'я був неперервним, постійно дбати про фізичне, психічне і моральне здоров'я дітей, створюють належні умови для їхнього розвитку, активно </w:t>
      </w:r>
      <w:r>
        <w:rPr>
          <w:color w:val="1A1A1A"/>
          <w:szCs w:val="28"/>
          <w:lang w:val="uk-UA"/>
        </w:rPr>
        <w:lastRenderedPageBreak/>
        <w:t xml:space="preserve">впроваджують ефективні технології збереження і зміцнення здоров'я, сприяють здоровим стосункам між учнями, педагогами, батьками; </w:t>
      </w:r>
      <w:r>
        <w:rPr>
          <w:i/>
          <w:iCs/>
          <w:color w:val="1A1A1A"/>
          <w:szCs w:val="28"/>
          <w:lang w:val="uk-UA"/>
        </w:rPr>
        <w:t xml:space="preserve">громадськість </w:t>
      </w:r>
      <w:r>
        <w:rPr>
          <w:iCs/>
          <w:color w:val="1A1A1A"/>
          <w:szCs w:val="28"/>
          <w:lang w:val="uk-UA"/>
        </w:rPr>
        <w:t>сприяє збереженню здоров'я учасників навчально-виховного процесу, залученню їх до занять фізичною культурою і спортом, організації медичної допомоги учням, пропаганди здорового способу життя.</w:t>
      </w:r>
    </w:p>
    <w:p w:rsidR="00663D42" w:rsidRDefault="00663D42" w:rsidP="00663D42">
      <w:pPr>
        <w:ind w:firstLine="567"/>
        <w:rPr>
          <w:iCs/>
          <w:color w:val="1A1A1A"/>
          <w:szCs w:val="28"/>
          <w:lang w:val="uk-UA"/>
        </w:rPr>
      </w:pPr>
      <w:r>
        <w:rPr>
          <w:iCs/>
          <w:color w:val="1A1A1A"/>
          <w:szCs w:val="28"/>
          <w:lang w:val="uk-UA"/>
        </w:rPr>
        <w:t xml:space="preserve">Виходячи з цього, у НВК проводяться заходи щодо популяризації здорового способу життя, культури здоров'я, оздоровчої діяльності навчального закладу. Традиційними для нашого закладу є: години спілкування, загальношкільні тематичні лінійки, тренінги, акції милосердя, спортивні змагання, інформаційно-творчі проекти, </w:t>
      </w:r>
      <w:proofErr w:type="spellStart"/>
      <w:r>
        <w:rPr>
          <w:iCs/>
          <w:color w:val="1A1A1A"/>
          <w:szCs w:val="28"/>
          <w:lang w:val="uk-UA"/>
        </w:rPr>
        <w:t>брейн-ринги</w:t>
      </w:r>
      <w:proofErr w:type="spellEnd"/>
      <w:r>
        <w:rPr>
          <w:iCs/>
          <w:color w:val="1A1A1A"/>
          <w:szCs w:val="28"/>
          <w:lang w:val="uk-UA"/>
        </w:rPr>
        <w:t xml:space="preserve"> та калейдоскопи, тематичні тижні, батьківські лекторії, тематичні й індивідуальні консультації, залучення батьків до участі у класних і громадських заходах.</w:t>
      </w:r>
    </w:p>
    <w:p w:rsidR="00663D42" w:rsidRDefault="00663D42" w:rsidP="00663D42">
      <w:pPr>
        <w:ind w:firstLine="567"/>
        <w:rPr>
          <w:iCs/>
          <w:color w:val="1A1A1A"/>
          <w:szCs w:val="28"/>
          <w:lang w:val="uk-UA"/>
        </w:rPr>
      </w:pPr>
      <w:r>
        <w:rPr>
          <w:iCs/>
          <w:color w:val="1A1A1A"/>
          <w:szCs w:val="28"/>
          <w:lang w:val="uk-UA"/>
        </w:rPr>
        <w:t>Уся діяльність закладу висвітлюється на шпальтах шкільної газети «Козацький вогник». Це дає змогу об'єднати, згуртувати всіх учасників навчально-виховного процесу, створити ситуацію співробітництва, партнерства.</w:t>
      </w:r>
    </w:p>
    <w:p w:rsidR="00663D42" w:rsidRPr="00BE17B3" w:rsidRDefault="00663D42" w:rsidP="00663D42">
      <w:pPr>
        <w:ind w:firstLine="567"/>
        <w:rPr>
          <w:b/>
          <w:i/>
          <w:iCs/>
          <w:color w:val="1A1A1A"/>
          <w:szCs w:val="28"/>
          <w:lang w:val="uk-UA"/>
        </w:rPr>
      </w:pPr>
      <w:r>
        <w:rPr>
          <w:iCs/>
          <w:color w:val="1A1A1A"/>
          <w:szCs w:val="28"/>
          <w:lang w:val="uk-UA"/>
        </w:rPr>
        <w:t>Крім цього у закладу працює соціально-психологічна служба, яка забезпечує психолого-педагогічний супровід різних категорій учнів: це система професійної діяльності всього педагогічного колективу, спрямована на створення сприятливих соціально-психологічних умов для повноцінного розвитку й успішного навчання дитини в ситуаціях шкільної взаємодії. Основними формами роботи служби є сприяння охопленню всіх дітей напрямками роботи вихо</w:t>
      </w:r>
      <w:r w:rsidR="00730E73">
        <w:rPr>
          <w:iCs/>
          <w:color w:val="1A1A1A"/>
          <w:szCs w:val="28"/>
          <w:lang w:val="uk-UA"/>
        </w:rPr>
        <w:t xml:space="preserve">вної системи закладу,   </w:t>
      </w:r>
      <w:r>
        <w:rPr>
          <w:iCs/>
          <w:color w:val="1A1A1A"/>
          <w:szCs w:val="28"/>
          <w:lang w:val="uk-UA"/>
        </w:rPr>
        <w:t xml:space="preserve">                                                     попередження можливостей виникнення конфліктних ситуацій між суб’єктами навчально-виховного процесу. Проводяться анкети, </w:t>
      </w:r>
      <w:proofErr w:type="spellStart"/>
      <w:r>
        <w:rPr>
          <w:iCs/>
          <w:color w:val="1A1A1A"/>
          <w:szCs w:val="28"/>
          <w:lang w:val="uk-UA"/>
        </w:rPr>
        <w:t>соціаметричні</w:t>
      </w:r>
      <w:proofErr w:type="spellEnd"/>
      <w:r>
        <w:rPr>
          <w:iCs/>
          <w:color w:val="1A1A1A"/>
          <w:szCs w:val="28"/>
          <w:lang w:val="uk-UA"/>
        </w:rPr>
        <w:t xml:space="preserve"> дослідження взаємин у класі, тести. Це дає можливість сприяти формуванню розвиненої особистості, інтелектуальному </w:t>
      </w:r>
      <w:r>
        <w:rPr>
          <w:iCs/>
          <w:color w:val="1A1A1A"/>
          <w:szCs w:val="28"/>
          <w:lang w:val="uk-UA"/>
        </w:rPr>
        <w:br/>
        <w:t>й емоційному благополуччю, позитивній і здоровій поведінці (додаток 1).</w:t>
      </w:r>
    </w:p>
    <w:p w:rsidR="00663D42" w:rsidRDefault="00663D42" w:rsidP="00663D42">
      <w:pPr>
        <w:ind w:firstLine="567"/>
        <w:rPr>
          <w:color w:val="1A1A1A"/>
          <w:szCs w:val="28"/>
          <w:lang w:val="uk-UA"/>
        </w:rPr>
      </w:pPr>
      <w:r>
        <w:rPr>
          <w:color w:val="1A1A1A"/>
          <w:szCs w:val="28"/>
          <w:lang w:val="uk-UA"/>
        </w:rPr>
        <w:lastRenderedPageBreak/>
        <w:t>Отже, показниками цілісного благополуччя учня у Школі, дружній до дитини, є: моральна вихованість; інтелектуальна мобільність; естетична вихованість; емоційно-вольова стійкість; фізичний і життєвий тонус; орієнтованість у світі професій; участь у житті суспільства.</w:t>
      </w:r>
    </w:p>
    <w:p w:rsidR="00663D42" w:rsidRDefault="00663D42" w:rsidP="00663D42">
      <w:pPr>
        <w:ind w:firstLine="567"/>
        <w:rPr>
          <w:i/>
          <w:iCs/>
          <w:color w:val="1A1A1A"/>
          <w:szCs w:val="28"/>
          <w:lang w:val="uk-UA"/>
        </w:rPr>
      </w:pPr>
      <w:r>
        <w:rPr>
          <w:color w:val="1A1A1A"/>
          <w:szCs w:val="28"/>
          <w:lang w:val="uk-UA"/>
        </w:rPr>
        <w:t>Тільки спільне прагнення педагогічного колективу, учнів, батьків при підтримці відділу освіти, співпраці з медичними закладами та громадськими організаціями можна створити навчальний заклад – Школу, дружню до дитини.</w:t>
      </w:r>
    </w:p>
    <w:p w:rsidR="00663D42" w:rsidRDefault="00663D42" w:rsidP="00663D42">
      <w:pPr>
        <w:pStyle w:val="a0"/>
        <w:ind w:left="0" w:firstLine="0"/>
        <w:jc w:val="center"/>
        <w:rPr>
          <w:b/>
          <w:szCs w:val="28"/>
          <w:lang w:val="uk-UA"/>
        </w:rPr>
      </w:pPr>
    </w:p>
    <w:p w:rsidR="00663D42" w:rsidRPr="00132C9D" w:rsidRDefault="00663D42" w:rsidP="00663D42">
      <w:pPr>
        <w:pStyle w:val="a0"/>
        <w:ind w:left="0" w:firstLine="0"/>
        <w:jc w:val="center"/>
        <w:rPr>
          <w:b/>
          <w:szCs w:val="28"/>
          <w:lang w:val="uk-UA"/>
        </w:rPr>
      </w:pPr>
      <w:r w:rsidRPr="00132C9D">
        <w:rPr>
          <w:b/>
          <w:szCs w:val="28"/>
          <w:lang w:val="uk-UA"/>
        </w:rPr>
        <w:t>Додатки</w:t>
      </w:r>
    </w:p>
    <w:p w:rsidR="00663D42" w:rsidRPr="00132C9D" w:rsidRDefault="00663D42" w:rsidP="00663D42">
      <w:pPr>
        <w:pStyle w:val="a0"/>
        <w:ind w:left="0" w:firstLine="0"/>
        <w:jc w:val="right"/>
        <w:rPr>
          <w:b/>
          <w:szCs w:val="28"/>
          <w:lang w:val="uk-UA"/>
        </w:rPr>
      </w:pPr>
      <w:r w:rsidRPr="00132C9D">
        <w:rPr>
          <w:b/>
          <w:szCs w:val="28"/>
          <w:lang w:val="uk-UA"/>
        </w:rPr>
        <w:t>Додаток 1</w:t>
      </w:r>
    </w:p>
    <w:p w:rsidR="00663D42" w:rsidRDefault="00663D42" w:rsidP="00663D42">
      <w:pPr>
        <w:jc w:val="center"/>
        <w:rPr>
          <w:b/>
          <w:lang w:val="uk-UA"/>
        </w:rPr>
      </w:pPr>
      <w:r w:rsidRPr="001A185E">
        <w:rPr>
          <w:b/>
        </w:rPr>
        <w:t>В</w:t>
      </w:r>
      <w:r w:rsidRPr="001A185E">
        <w:rPr>
          <w:b/>
          <w:lang w:val="uk-UA"/>
        </w:rPr>
        <w:t>плив ступеню психологічного комф</w:t>
      </w:r>
      <w:r>
        <w:rPr>
          <w:b/>
          <w:lang w:val="uk-UA"/>
        </w:rPr>
        <w:t>орту на індекс якості успішності</w:t>
      </w:r>
    </w:p>
    <w:p w:rsidR="00663D42" w:rsidRDefault="00663D42" w:rsidP="00663D42">
      <w:pPr>
        <w:ind w:firstLine="708"/>
        <w:rPr>
          <w:lang w:val="uk-UA"/>
        </w:rPr>
      </w:pPr>
      <w:r>
        <w:rPr>
          <w:lang w:val="uk-UA"/>
        </w:rPr>
        <w:t xml:space="preserve">Наявність або відсутність психологічного комфорту на уроці  впливає на стан психіки учня, на його бажання вчитись, а в результаті на його успішність. Для вивчення ступеню психологічного комфорту використовували методику «Зустріч» В. </w:t>
      </w:r>
      <w:proofErr w:type="spellStart"/>
      <w:r>
        <w:rPr>
          <w:lang w:val="uk-UA"/>
        </w:rPr>
        <w:t>Корнєєвой</w:t>
      </w:r>
      <w:proofErr w:type="spellEnd"/>
      <w:r>
        <w:rPr>
          <w:lang w:val="uk-UA"/>
        </w:rPr>
        <w:t xml:space="preserve">, яка дозволяє отримати зворотній зв’язок від учнів різних вікових категорій і визначає стиль взаємодії класного керівника, </w:t>
      </w:r>
      <w:proofErr w:type="spellStart"/>
      <w:r>
        <w:rPr>
          <w:lang w:val="uk-UA"/>
        </w:rPr>
        <w:t>вчителя-предметника</w:t>
      </w:r>
      <w:proofErr w:type="spellEnd"/>
      <w:r>
        <w:rPr>
          <w:lang w:val="uk-UA"/>
        </w:rPr>
        <w:t xml:space="preserve"> та учня. </w:t>
      </w:r>
    </w:p>
    <w:p w:rsidR="00663D42" w:rsidRDefault="00663D42" w:rsidP="00663D42">
      <w:pPr>
        <w:rPr>
          <w:lang w:val="uk-UA"/>
        </w:rPr>
      </w:pPr>
      <w:r>
        <w:rPr>
          <w:lang w:val="uk-UA"/>
        </w:rPr>
        <w:t xml:space="preserve">Порівняльний аналіз результатів початку </w:t>
      </w:r>
      <w:proofErr w:type="spellStart"/>
      <w:r>
        <w:rPr>
          <w:lang w:val="uk-UA"/>
        </w:rPr>
        <w:t>проекта</w:t>
      </w:r>
      <w:proofErr w:type="spellEnd"/>
      <w:r>
        <w:rPr>
          <w:lang w:val="uk-UA"/>
        </w:rPr>
        <w:t xml:space="preserve"> «Школа, дружня до дитини» і теперішнього часу дозволили зробити наступні висновки:  спільна робота  педагогічного колективу та практичного психолога з вихованцями протягом року сприяла зміні показника ступеню психологічного комфорту по закладу на 4-5%. </w:t>
      </w:r>
    </w:p>
    <w:p w:rsidR="00663D42" w:rsidRDefault="00663D42" w:rsidP="00663D42">
      <w:pPr>
        <w:rPr>
          <w:lang w:val="uk-UA"/>
        </w:rPr>
      </w:pPr>
    </w:p>
    <w:p w:rsidR="00663D42" w:rsidRDefault="00663D42" w:rsidP="00663D42">
      <w:pPr>
        <w:pStyle w:val="a0"/>
        <w:rPr>
          <w:lang w:val="uk-UA"/>
        </w:rPr>
      </w:pPr>
    </w:p>
    <w:p w:rsidR="00663D42" w:rsidRDefault="00663D42" w:rsidP="00663D42">
      <w:pPr>
        <w:pStyle w:val="a0"/>
        <w:rPr>
          <w:lang w:val="uk-UA"/>
        </w:rPr>
      </w:pPr>
    </w:p>
    <w:p w:rsidR="00663D42" w:rsidRPr="00132C9D" w:rsidRDefault="00663D42" w:rsidP="00663D42">
      <w:pPr>
        <w:pStyle w:val="a0"/>
        <w:rPr>
          <w:lang w:val="uk-UA"/>
        </w:rPr>
      </w:pPr>
    </w:p>
    <w:p w:rsidR="00663D42" w:rsidRPr="00132C9D" w:rsidRDefault="00663D42" w:rsidP="00663D42">
      <w:pPr>
        <w:jc w:val="center"/>
        <w:rPr>
          <w:b/>
          <w:lang w:val="uk-UA"/>
        </w:rPr>
      </w:pPr>
      <w:r w:rsidRPr="00132C9D">
        <w:rPr>
          <w:b/>
          <w:lang w:val="uk-UA"/>
        </w:rPr>
        <w:t>2012/2013 навчальний рік</w:t>
      </w:r>
    </w:p>
    <w:p w:rsidR="00663D42" w:rsidRPr="007C3F8F" w:rsidRDefault="00663D42" w:rsidP="00663D42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>
            <wp:extent cx="3808730" cy="248856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3D42" w:rsidRDefault="00663D42" w:rsidP="00663D42">
      <w:pPr>
        <w:jc w:val="right"/>
        <w:rPr>
          <w:b/>
          <w:sz w:val="32"/>
          <w:szCs w:val="32"/>
          <w:lang w:val="uk-UA"/>
        </w:rPr>
      </w:pPr>
    </w:p>
    <w:p w:rsidR="00663D42" w:rsidRPr="00132C9D" w:rsidRDefault="00663D42" w:rsidP="00663D42">
      <w:pPr>
        <w:jc w:val="right"/>
        <w:rPr>
          <w:b/>
          <w:szCs w:val="28"/>
          <w:lang w:val="uk-UA"/>
        </w:rPr>
      </w:pPr>
      <w:r w:rsidRPr="00132C9D">
        <w:rPr>
          <w:b/>
          <w:szCs w:val="28"/>
          <w:lang w:val="uk-UA"/>
        </w:rPr>
        <w:t>Додаток 1 (продовження)</w:t>
      </w:r>
    </w:p>
    <w:p w:rsidR="00663D42" w:rsidRDefault="00663D42" w:rsidP="00663D42">
      <w:pPr>
        <w:jc w:val="center"/>
        <w:rPr>
          <w:lang w:val="uk-UA"/>
        </w:rPr>
      </w:pPr>
      <w:r>
        <w:rPr>
          <w:lang w:val="uk-UA"/>
        </w:rPr>
        <w:t>2013/2014 навчальний рік</w:t>
      </w:r>
    </w:p>
    <w:p w:rsidR="00663D42" w:rsidRDefault="00663D42" w:rsidP="00663D4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06240" cy="244094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3D42" w:rsidRPr="00D77698" w:rsidRDefault="00663D42" w:rsidP="00663D42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42"/>
    <w:rsid w:val="00112D3F"/>
    <w:rsid w:val="003730A1"/>
    <w:rsid w:val="00421967"/>
    <w:rsid w:val="00554FDE"/>
    <w:rsid w:val="00663D42"/>
    <w:rsid w:val="00730E73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3D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qFormat/>
    <w:rsid w:val="00663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63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1136264216972894E-2"/>
          <c:y val="4.4057617797775304E-2"/>
          <c:w val="0.76212871828521456"/>
          <c:h val="0.856531058617672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7Б</c:v>
                </c:pt>
                <c:pt idx="2">
                  <c:v>8А</c:v>
                </c:pt>
                <c:pt idx="3">
                  <c:v>9Б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0.92</c:v>
                </c:pt>
                <c:pt idx="2">
                  <c:v>0.82000000000000017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псих. Комфорт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7Б</c:v>
                </c:pt>
                <c:pt idx="2">
                  <c:v>8А</c:v>
                </c:pt>
                <c:pt idx="3">
                  <c:v>9Б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0.82000000000000017</c:v>
                </c:pt>
                <c:pt idx="1">
                  <c:v>0.82000000000000017</c:v>
                </c:pt>
                <c:pt idx="2">
                  <c:v>0.6000000000000002</c:v>
                </c:pt>
                <c:pt idx="3">
                  <c:v>0.62000000000000022</c:v>
                </c:pt>
              </c:numCache>
            </c:numRef>
          </c:val>
        </c:ser>
        <c:shape val="box"/>
        <c:axId val="49275264"/>
        <c:axId val="49445888"/>
        <c:axId val="0"/>
      </c:bar3DChart>
      <c:catAx>
        <c:axId val="49275264"/>
        <c:scaling>
          <c:orientation val="minMax"/>
        </c:scaling>
        <c:axPos val="b"/>
        <c:numFmt formatCode="General" sourceLinked="1"/>
        <c:tickLblPos val="nextTo"/>
        <c:crossAx val="49445888"/>
        <c:crosses val="autoZero"/>
        <c:auto val="1"/>
        <c:lblAlgn val="ctr"/>
        <c:lblOffset val="100"/>
      </c:catAx>
      <c:valAx>
        <c:axId val="49445888"/>
        <c:scaling>
          <c:orientation val="minMax"/>
        </c:scaling>
        <c:axPos val="l"/>
        <c:majorGridlines/>
        <c:numFmt formatCode="0%" sourceLinked="1"/>
        <c:tickLblPos val="nextTo"/>
        <c:crossAx val="49275264"/>
        <c:crosses val="autoZero"/>
        <c:crossBetween val="between"/>
      </c:valAx>
      <c:spPr>
        <a:noFill/>
        <a:ln w="2533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3647747156605459E-2"/>
          <c:y val="3.6121109861267341E-2"/>
          <c:w val="0.69644593904928564"/>
          <c:h val="0.856531058617672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7Б</c:v>
                </c:pt>
                <c:pt idx="2">
                  <c:v>8А</c:v>
                </c:pt>
                <c:pt idx="3">
                  <c:v>9Б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0.92</c:v>
                </c:pt>
                <c:pt idx="2">
                  <c:v>0.83000000000000018</c:v>
                </c:pt>
                <c:pt idx="3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псих.комфорт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7Б</c:v>
                </c:pt>
                <c:pt idx="2">
                  <c:v>8А</c:v>
                </c:pt>
                <c:pt idx="3">
                  <c:v>9Б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0.84000000000000019</c:v>
                </c:pt>
                <c:pt idx="1">
                  <c:v>0.88</c:v>
                </c:pt>
                <c:pt idx="2">
                  <c:v>0.65000000000000024</c:v>
                </c:pt>
                <c:pt idx="3">
                  <c:v>0.9</c:v>
                </c:pt>
              </c:numCache>
            </c:numRef>
          </c:val>
        </c:ser>
        <c:shape val="box"/>
        <c:axId val="69209088"/>
        <c:axId val="103068416"/>
        <c:axId val="0"/>
      </c:bar3DChart>
      <c:catAx>
        <c:axId val="69209088"/>
        <c:scaling>
          <c:orientation val="minMax"/>
        </c:scaling>
        <c:axPos val="b"/>
        <c:numFmt formatCode="General" sourceLinked="1"/>
        <c:tickLblPos val="nextTo"/>
        <c:crossAx val="103068416"/>
        <c:crosses val="autoZero"/>
        <c:auto val="1"/>
        <c:lblAlgn val="ctr"/>
        <c:lblOffset val="100"/>
      </c:catAx>
      <c:valAx>
        <c:axId val="103068416"/>
        <c:scaling>
          <c:orientation val="minMax"/>
        </c:scaling>
        <c:axPos val="l"/>
        <c:majorGridlines/>
        <c:numFmt formatCode="0%" sourceLinked="1"/>
        <c:tickLblPos val="nextTo"/>
        <c:crossAx val="69209088"/>
        <c:crosses val="autoZero"/>
        <c:crossBetween val="between"/>
      </c:valAx>
      <c:spPr>
        <a:noFill/>
        <a:ln w="25376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2014-06-25T12:09:00Z</dcterms:created>
  <dcterms:modified xsi:type="dcterms:W3CDTF">2014-06-25T12:11:00Z</dcterms:modified>
</cp:coreProperties>
</file>