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B" w:rsidRPr="00073C49" w:rsidRDefault="00D8529B" w:rsidP="00D8529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3C49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 w:rsidRPr="00073C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Середня кількість балів учасників опитування для кожного з дев’яти блоків та їхня загальна сума </w:t>
      </w:r>
    </w:p>
    <w:p w:rsidR="00D8529B" w:rsidRPr="00073C49" w:rsidRDefault="00D8529B" w:rsidP="00D852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735" w:type="dxa"/>
        <w:tblInd w:w="-507" w:type="dxa"/>
        <w:tblCellMar>
          <w:left w:w="0" w:type="dxa"/>
          <w:right w:w="0" w:type="dxa"/>
        </w:tblCellMar>
        <w:tblLook w:val="04A0"/>
      </w:tblPr>
      <w:tblGrid>
        <w:gridCol w:w="4111"/>
        <w:gridCol w:w="1134"/>
        <w:gridCol w:w="992"/>
        <w:gridCol w:w="851"/>
        <w:gridCol w:w="992"/>
        <w:gridCol w:w="992"/>
        <w:gridCol w:w="993"/>
        <w:gridCol w:w="850"/>
        <w:gridCol w:w="851"/>
        <w:gridCol w:w="992"/>
        <w:gridCol w:w="992"/>
        <w:gridCol w:w="992"/>
        <w:gridCol w:w="993"/>
      </w:tblGrid>
      <w:tr w:rsidR="00D8529B" w:rsidRPr="00513FA7" w:rsidTr="006B0751">
        <w:trPr>
          <w:trHeight w:val="534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529B" w:rsidRPr="00513FA7" w:rsidRDefault="00D8529B" w:rsidP="006B075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Блоки контролю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  <w:p w:rsidR="00D8529B" w:rsidRPr="00513FA7" w:rsidRDefault="00D8529B" w:rsidP="006B075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якості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Адміністрація </w:t>
            </w:r>
          </w:p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Вчителі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 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Учні </w:t>
            </w:r>
          </w:p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Їхні батьки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4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D8529B" w:rsidRPr="00513FA7" w:rsidTr="006B0751">
        <w:trPr>
          <w:trHeight w:val="1638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29B" w:rsidRPr="00513FA7" w:rsidRDefault="00D8529B" w:rsidP="006B075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Сума балів опитаних чл. адміністрації (А)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К-ть</w:t>
            </w:r>
            <w:proofErr w:type="spellEnd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 опитаних </w:t>
            </w:r>
          </w:p>
          <w:p w:rsidR="00D8529B" w:rsidRPr="00513FA7" w:rsidRDefault="00D8529B" w:rsidP="006B0751">
            <w:pPr>
              <w:spacing w:after="0"/>
              <w:ind w:left="115" w:right="115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чл.</w:t>
            </w: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</w:rPr>
              <w:t>а</w:t>
            </w:r>
            <w:proofErr w:type="spellStart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дміністра</w:t>
            </w:r>
            <w:proofErr w:type="spellEnd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  </w:t>
            </w:r>
            <w:proofErr w:type="spellStart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ції</w:t>
            </w:r>
            <w:proofErr w:type="spellEnd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  (Б)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Середня </w:t>
            </w:r>
            <w:proofErr w:type="spellStart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к-ть</w:t>
            </w:r>
            <w:proofErr w:type="spellEnd"/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балів 1 (А\Б)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Сума балів опитаних вчителів (А)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К-ть</w:t>
            </w:r>
            <w:proofErr w:type="spellEnd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 опитаних вчителів (Б)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Середня </w:t>
            </w:r>
            <w:proofErr w:type="spellStart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к-ть</w:t>
            </w:r>
            <w:proofErr w:type="spellEnd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 балів 2 (А\Б)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Сума балів опитаних учнів (А)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К-ть</w:t>
            </w:r>
            <w:proofErr w:type="spellEnd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о</w:t>
            </w: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питаних учнів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Середня </w:t>
            </w:r>
            <w:proofErr w:type="spellStart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к-ть</w:t>
            </w:r>
            <w:proofErr w:type="spellEnd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 балів 3 (А\Б)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Сума балів опитаних батьків (А)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spacing w:after="0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>К-ть</w:t>
            </w:r>
            <w:proofErr w:type="spellEnd"/>
            <w:r w:rsidRPr="00513FA7">
              <w:rPr>
                <w:rFonts w:ascii="Times New Roman" w:hAnsi="Times New Roman"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 опитаних батьків (Б)</w:t>
            </w:r>
            <w:r w:rsidRPr="00513FA7">
              <w:rPr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textDirection w:val="btLr"/>
            <w:vAlign w:val="center"/>
            <w:hideMark/>
          </w:tcPr>
          <w:p w:rsidR="00D8529B" w:rsidRPr="00513FA7" w:rsidRDefault="00D8529B" w:rsidP="006B0751">
            <w:pPr>
              <w:pStyle w:val="a3"/>
              <w:rPr>
                <w:rFonts w:ascii="Arial" w:eastAsia="Times New Roman" w:hAnsi="Arial" w:cs="Arial"/>
                <w:sz w:val="36"/>
                <w:szCs w:val="36"/>
              </w:rPr>
            </w:pPr>
            <w:r w:rsidRPr="005E18A2">
              <w:rPr>
                <w:kern w:val="24"/>
                <w:lang w:val="uk-UA"/>
              </w:rPr>
              <w:t xml:space="preserve">Середня      </w:t>
            </w:r>
            <w:proofErr w:type="spellStart"/>
            <w:r w:rsidRPr="005E18A2">
              <w:rPr>
                <w:kern w:val="24"/>
                <w:lang w:val="uk-UA"/>
              </w:rPr>
              <w:t>к-ть</w:t>
            </w:r>
            <w:proofErr w:type="spellEnd"/>
            <w:r w:rsidRPr="005E18A2">
              <w:rPr>
                <w:kern w:val="24"/>
                <w:lang w:val="uk-UA"/>
              </w:rPr>
              <w:t xml:space="preserve"> балів     4 (А\Б)</w:t>
            </w:r>
            <w:r w:rsidRPr="005E18A2">
              <w:rPr>
                <w:kern w:val="24"/>
              </w:rPr>
              <w:t xml:space="preserve"> </w:t>
            </w:r>
          </w:p>
        </w:tc>
      </w:tr>
      <w:tr w:rsidR="00D8529B" w:rsidRPr="00513FA7" w:rsidTr="006B0751">
        <w:trPr>
          <w:trHeight w:val="48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1.Забезпечення дружньої, заохочувальної, сприятливої атмосфери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7.4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3.7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18.5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3.7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74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3.7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28.8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D8529B" w:rsidRPr="005E18A2" w:rsidTr="006B0751">
        <w:trPr>
          <w:trHeight w:val="45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uk-UA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2.Забезпечення та дотримання належних санітарно-гігієнічних умов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7.3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3.7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18.3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3.7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69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28.3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D8529B" w:rsidRPr="00513FA7" w:rsidTr="006B0751">
        <w:trPr>
          <w:trHeight w:val="38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 Сприяння співпраці та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  <w:p w:rsidR="00D8529B" w:rsidRPr="00513FA7" w:rsidRDefault="00D8529B" w:rsidP="006B075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активному навчанню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7.1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17.6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68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3.4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27.3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3.4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D8529B" w:rsidRPr="00513FA7" w:rsidTr="006B0751">
        <w:trPr>
          <w:trHeight w:val="45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4. Відсутність фізичного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  <w:p w:rsidR="00D8529B" w:rsidRPr="00513FA7" w:rsidRDefault="00D8529B" w:rsidP="006B075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покарання та насильства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7.9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  <w:t>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3.9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19.7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3.9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76.1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29.8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3.7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D8529B" w:rsidRPr="00513FA7" w:rsidTr="006B0751">
        <w:trPr>
          <w:trHeight w:val="52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5. Недопущення знущання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  <w:p w:rsidR="00D8529B" w:rsidRPr="00513FA7" w:rsidRDefault="00D8529B" w:rsidP="006B075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та домагання, дискримінації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  <w:t>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18.9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75.9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30.3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D8529B" w:rsidRPr="00513FA7" w:rsidTr="006B0751">
        <w:trPr>
          <w:trHeight w:val="43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6. Оцінка розвитку творчих видів діяльності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7.5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18.9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75.3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29.8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3.7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D8529B" w:rsidRPr="00513FA7" w:rsidTr="006B0751">
        <w:trPr>
          <w:trHeight w:val="49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7. Узгодження виховних впливів школи і сім</w:t>
            </w: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</w:rPr>
              <w:t>’</w:t>
            </w: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ї шляхом залучення батьків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7.5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18.8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71.5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28.6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D8529B" w:rsidRPr="00513FA7" w:rsidTr="006B0751">
        <w:trPr>
          <w:trHeight w:val="56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8. Сприяння рівним можливостям учнів щодо участі у прийнятті рішень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3.9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19.4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3.9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76.3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31.0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3.9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D8529B" w:rsidRPr="00513FA7" w:rsidTr="006B0751">
        <w:trPr>
          <w:trHeight w:val="34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 xml:space="preserve">9. Якісна превентивна освіта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7.2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2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18.0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70.5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28.5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 w:line="34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3.6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D8529B" w:rsidRPr="00513FA7" w:rsidTr="006B0751">
        <w:trPr>
          <w:trHeight w:val="53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Pr="00513FA7" w:rsidRDefault="00D8529B" w:rsidP="006B075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Загальна сума балів графи «середня кількість балів (А\Б)» за дев’ять блоків: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Default="00D8529B" w:rsidP="006B075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</w:pPr>
          </w:p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33.8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Default="00D8529B" w:rsidP="006B075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</w:pPr>
          </w:p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33.7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Default="00D8529B" w:rsidP="006B075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</w:pPr>
          </w:p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33.0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60" w:type="dxa"/>
              <w:bottom w:w="0" w:type="dxa"/>
              <w:right w:w="60" w:type="dxa"/>
            </w:tcMar>
            <w:hideMark/>
          </w:tcPr>
          <w:p w:rsidR="00D8529B" w:rsidRDefault="00D8529B" w:rsidP="006B075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</w:pPr>
          </w:p>
          <w:p w:rsidR="00D8529B" w:rsidRPr="00513FA7" w:rsidRDefault="00D8529B" w:rsidP="006B075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13FA7">
              <w:rPr>
                <w:rFonts w:ascii="Times New Roman" w:hAnsi="Times New Roman"/>
                <w:b/>
                <w:bCs/>
                <w:color w:val="000000"/>
                <w:kern w:val="24"/>
                <w:sz w:val="21"/>
                <w:szCs w:val="21"/>
                <w:lang w:val="uk-UA"/>
              </w:rPr>
              <w:t>32.8</w:t>
            </w:r>
            <w:r w:rsidRPr="00513FA7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</w:tbl>
    <w:p w:rsidR="00D8529B" w:rsidRDefault="00D8529B" w:rsidP="00D8529B">
      <w:pPr>
        <w:rPr>
          <w:lang w:val="en-US"/>
        </w:rPr>
      </w:pPr>
    </w:p>
    <w:p w:rsidR="00D8529B" w:rsidRDefault="00D8529B" w:rsidP="00D8529B">
      <w:pPr>
        <w:rPr>
          <w:lang w:val="uk-UA"/>
        </w:rPr>
        <w:sectPr w:rsidR="00D8529B" w:rsidSect="00073C49">
          <w:pgSz w:w="16838" w:h="11906" w:orient="landscape"/>
          <w:pgMar w:top="851" w:right="1134" w:bottom="1134" w:left="992" w:header="709" w:footer="709" w:gutter="0"/>
          <w:cols w:space="708"/>
          <w:docGrid w:linePitch="360"/>
        </w:sectPr>
      </w:pPr>
    </w:p>
    <w:p w:rsidR="00D8529B" w:rsidRDefault="00D8529B" w:rsidP="00D8529B">
      <w:pPr>
        <w:rPr>
          <w:lang w:val="uk-UA"/>
        </w:rPr>
      </w:pP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анкетуванні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взяли участь директор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Черкащенко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І.І.,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замісник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Поплавець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Т.М., 5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20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9-11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8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опитування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відповідальною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особою</w:t>
      </w:r>
      <w:proofErr w:type="gram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заступник директора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виховної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>Самойленко</w:t>
      </w:r>
      <w:proofErr w:type="spellEnd"/>
      <w:r w:rsidRPr="00521EF7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Т.М..</w:t>
      </w:r>
    </w:p>
    <w:p w:rsidR="00D8529B" w:rsidRPr="00A6786A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6786A">
        <w:rPr>
          <w:rFonts w:ascii="Times New Roman" w:hAnsi="Times New Roman" w:cs="Times New Roman"/>
          <w:sz w:val="28"/>
          <w:szCs w:val="28"/>
          <w:lang w:val="uk-UA"/>
        </w:rPr>
        <w:t>Загальна кількість балів графи «Середня кількість балів (А/Б)» за дев’ять блоків у адміністрації школи і вчителів майже збігається (розбіжність складає 0,1) і відповідно становить 33,8 і 33,7, а в адміністрації та учнів і їхніх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6A">
        <w:rPr>
          <w:rFonts w:ascii="Times New Roman" w:hAnsi="Times New Roman" w:cs="Times New Roman"/>
          <w:sz w:val="28"/>
          <w:szCs w:val="28"/>
          <w:lang w:val="uk-UA"/>
        </w:rPr>
        <w:t xml:space="preserve"> батьків становить 0,8 та 1,0 відповідно.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6786A">
        <w:rPr>
          <w:rFonts w:ascii="Times New Roman" w:hAnsi="Times New Roman" w:cs="Times New Roman"/>
          <w:sz w:val="28"/>
          <w:szCs w:val="28"/>
          <w:lang w:val="uk-UA"/>
        </w:rPr>
        <w:t>У блоці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6A">
        <w:rPr>
          <w:rFonts w:ascii="Times New Roman" w:hAnsi="Times New Roman" w:cs="Times New Roman"/>
          <w:sz w:val="28"/>
          <w:szCs w:val="28"/>
          <w:lang w:val="uk-UA"/>
        </w:rPr>
        <w:t xml:space="preserve">1 «Забезпечення дружньої, заохочувальної, сприятливої атмосфери» відповіді респондентів майже співпали. Дехто з учнів та їхніх батьків вважають, що майже завжди можуть отримати допомогу і підтримку у разі потреби. </w:t>
      </w:r>
      <w:r w:rsidRPr="00521EF7">
        <w:rPr>
          <w:rFonts w:ascii="Times New Roman" w:hAnsi="Times New Roman" w:cs="Times New Roman"/>
          <w:sz w:val="28"/>
          <w:szCs w:val="28"/>
        </w:rPr>
        <w:t xml:space="preserve">2 респондента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деякою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співпрацюють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учителями та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>.</w:t>
      </w:r>
    </w:p>
    <w:p w:rsidR="00D8529B" w:rsidRPr="00A6786A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6786A">
        <w:rPr>
          <w:rFonts w:ascii="Times New Roman" w:hAnsi="Times New Roman" w:cs="Times New Roman"/>
          <w:sz w:val="28"/>
          <w:szCs w:val="28"/>
          <w:lang w:val="uk-UA"/>
        </w:rPr>
        <w:t>У блоці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6A">
        <w:rPr>
          <w:rFonts w:ascii="Times New Roman" w:hAnsi="Times New Roman" w:cs="Times New Roman"/>
          <w:sz w:val="28"/>
          <w:szCs w:val="28"/>
          <w:lang w:val="uk-UA"/>
        </w:rPr>
        <w:t>2 «Забезпечення та дотримання належних санітарно-гігієнічних умов» значна частина респондентів вважає, що в школі здебільшого налагоджено централізоване постачання якісної питної води та існує стабільний температурний режим упродовж усього навчального року. Це пов’язане з тим, що іноді існують перебої з водопостачанням та невчасним забезпеченням школи вугіллям.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21EF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EF7">
        <w:rPr>
          <w:rFonts w:ascii="Times New Roman" w:hAnsi="Times New Roman" w:cs="Times New Roman"/>
          <w:sz w:val="28"/>
          <w:szCs w:val="28"/>
        </w:rPr>
        <w:t>3 «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та активному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навчанню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» 2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деякою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деякою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над проектами для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нею.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F7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521E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21E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Ознайомлювати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 w:rsidRPr="00521E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>іську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газету «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Дзержинський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шахтар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>».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21EF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EF7">
        <w:rPr>
          <w:rFonts w:ascii="Times New Roman" w:hAnsi="Times New Roman" w:cs="Times New Roman"/>
          <w:sz w:val="28"/>
          <w:szCs w:val="28"/>
        </w:rPr>
        <w:t>4 «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1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>ідповіли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сприймаються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деякою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>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21EF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заходи, активно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схильних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>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Позитивним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моментом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1EF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почуваються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статутом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>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21EF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EF7">
        <w:rPr>
          <w:rFonts w:ascii="Times New Roman" w:hAnsi="Times New Roman" w:cs="Times New Roman"/>
          <w:sz w:val="28"/>
          <w:szCs w:val="28"/>
        </w:rPr>
        <w:t>5 «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домагання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proofErr w:type="gramStart"/>
      <w:r w:rsidRPr="00521EF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співпали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21EF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 xml:space="preserve"> пункт 12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>».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21EF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EF7">
        <w:rPr>
          <w:rFonts w:ascii="Times New Roman" w:hAnsi="Times New Roman" w:cs="Times New Roman"/>
          <w:sz w:val="28"/>
          <w:szCs w:val="28"/>
        </w:rPr>
        <w:t>6 «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21EF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другого,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поставили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бал.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зазначили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1E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залишитися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наодинці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>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6786A">
        <w:rPr>
          <w:rFonts w:ascii="Times New Roman" w:hAnsi="Times New Roman" w:cs="Times New Roman"/>
          <w:sz w:val="28"/>
          <w:szCs w:val="28"/>
          <w:lang w:val="uk-UA"/>
        </w:rPr>
        <w:t xml:space="preserve">Завдяки питанням блоку №7 «Узгодження виховних впливів школи і сім’ї шляхом залучення батьків» стало відомо, що батьки не завжди повідомляють керівництво школи уразі виникнення будь-яких значних змін у домашньому житті людини, щоб дитина могла отримати допомогу уразі необхідності.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висвітлилася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lastRenderedPageBreak/>
        <w:t>обговоренні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слідує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батьками,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активніше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>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21EF7">
        <w:rPr>
          <w:rFonts w:ascii="Times New Roman" w:hAnsi="Times New Roman" w:cs="Times New Roman"/>
          <w:sz w:val="28"/>
          <w:szCs w:val="28"/>
        </w:rPr>
        <w:t>Блок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EF7">
        <w:rPr>
          <w:rFonts w:ascii="Times New Roman" w:hAnsi="Times New Roman" w:cs="Times New Roman"/>
          <w:sz w:val="28"/>
          <w:szCs w:val="28"/>
        </w:rPr>
        <w:t>8 «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1E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>івним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можливостям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роботу по толерантному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до «не таких, як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активніше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1E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>.</w:t>
      </w:r>
    </w:p>
    <w:p w:rsidR="00D8529B" w:rsidRPr="00521EF7" w:rsidRDefault="00D8529B" w:rsidP="00D85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21EF7">
        <w:rPr>
          <w:rFonts w:ascii="Times New Roman" w:hAnsi="Times New Roman" w:cs="Times New Roman"/>
          <w:sz w:val="28"/>
          <w:szCs w:val="28"/>
        </w:rPr>
        <w:t>Блок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EF7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превентивної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предмета «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1E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за методикою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молодшої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ланки пройти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proofErr w:type="gramStart"/>
      <w:r w:rsidRPr="00521E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опікуються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популяризацією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 xml:space="preserve"> та здорового способу </w:t>
      </w:r>
      <w:proofErr w:type="spellStart"/>
      <w:r w:rsidRPr="00521EF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21EF7">
        <w:rPr>
          <w:rFonts w:ascii="Times New Roman" w:hAnsi="Times New Roman" w:cs="Times New Roman"/>
          <w:sz w:val="28"/>
          <w:szCs w:val="28"/>
        </w:rPr>
        <w:t>.</w:t>
      </w:r>
    </w:p>
    <w:p w:rsidR="007344D0" w:rsidRDefault="007344D0"/>
    <w:sectPr w:rsidR="007344D0" w:rsidSect="00D85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29B"/>
    <w:rsid w:val="00112D3F"/>
    <w:rsid w:val="00421967"/>
    <w:rsid w:val="00554FDE"/>
    <w:rsid w:val="007344D0"/>
    <w:rsid w:val="00786653"/>
    <w:rsid w:val="00803533"/>
    <w:rsid w:val="00915A0E"/>
    <w:rsid w:val="00A741D2"/>
    <w:rsid w:val="00D8529B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8529B"/>
  </w:style>
  <w:style w:type="paragraph" w:styleId="a3">
    <w:name w:val="No Spacing"/>
    <w:uiPriority w:val="1"/>
    <w:qFormat/>
    <w:rsid w:val="00D852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2014-07-29T10:36:00Z</dcterms:created>
  <dcterms:modified xsi:type="dcterms:W3CDTF">2014-07-29T10:36:00Z</dcterms:modified>
</cp:coreProperties>
</file>