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08" w:rsidRPr="00343752" w:rsidRDefault="00090F08" w:rsidP="00090F08">
      <w:pPr>
        <w:jc w:val="center"/>
        <w:rPr>
          <w:b/>
          <w:bCs/>
        </w:rPr>
      </w:pPr>
      <w:r w:rsidRPr="00343752">
        <w:rPr>
          <w:b/>
          <w:bCs/>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090F08" w:rsidRPr="00343752" w:rsidTr="00D71E9B">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090F08" w:rsidRPr="00343752" w:rsidRDefault="00090F08" w:rsidP="00D71E9B">
            <w:pPr>
              <w:jc w:val="center"/>
              <w:rPr>
                <w:b/>
                <w:bCs/>
                <w:sz w:val="24"/>
                <w:szCs w:val="24"/>
              </w:rPr>
            </w:pPr>
            <w:r w:rsidRPr="00343752">
              <w:rPr>
                <w:b/>
                <w:bCs/>
                <w:sz w:val="24"/>
                <w:szCs w:val="24"/>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090F08" w:rsidRPr="00343752" w:rsidRDefault="00090F08" w:rsidP="00D71E9B">
            <w:pPr>
              <w:jc w:val="center"/>
              <w:rPr>
                <w:b/>
                <w:bCs/>
                <w:sz w:val="24"/>
                <w:szCs w:val="24"/>
              </w:rPr>
            </w:pPr>
            <w:r w:rsidRPr="00343752">
              <w:rPr>
                <w:b/>
                <w:bCs/>
                <w:sz w:val="24"/>
                <w:szCs w:val="24"/>
              </w:rPr>
              <w:t>Адміністрація</w:t>
            </w:r>
          </w:p>
          <w:p w:rsidR="00090F08" w:rsidRPr="00343752" w:rsidRDefault="00090F08" w:rsidP="00D71E9B">
            <w:pPr>
              <w:pStyle w:val="ListParagraph"/>
              <w:ind w:left="0" w:firstLine="0"/>
              <w:jc w:val="center"/>
              <w:rPr>
                <w:sz w:val="24"/>
                <w:szCs w:val="24"/>
                <w:lang w:val="uk-UA"/>
              </w:rPr>
            </w:pPr>
            <w:r w:rsidRPr="00343752">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090F08" w:rsidRPr="00343752" w:rsidRDefault="00090F08" w:rsidP="00D71E9B">
            <w:pPr>
              <w:jc w:val="center"/>
              <w:rPr>
                <w:b/>
                <w:bCs/>
                <w:sz w:val="24"/>
                <w:szCs w:val="24"/>
              </w:rPr>
            </w:pPr>
            <w:r w:rsidRPr="00343752">
              <w:rPr>
                <w:b/>
                <w:bCs/>
                <w:sz w:val="24"/>
                <w:szCs w:val="24"/>
              </w:rPr>
              <w:t>Вчителі</w:t>
            </w:r>
          </w:p>
          <w:p w:rsidR="00090F08" w:rsidRPr="00343752" w:rsidRDefault="00090F08" w:rsidP="00D71E9B">
            <w:pPr>
              <w:pStyle w:val="ListParagraph"/>
              <w:ind w:left="0" w:firstLine="0"/>
              <w:jc w:val="center"/>
              <w:rPr>
                <w:sz w:val="24"/>
                <w:szCs w:val="24"/>
                <w:lang w:val="uk-UA"/>
              </w:rPr>
            </w:pPr>
            <w:r w:rsidRPr="00343752">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090F08" w:rsidRPr="00343752" w:rsidRDefault="00090F08" w:rsidP="00D71E9B">
            <w:pPr>
              <w:jc w:val="center"/>
              <w:rPr>
                <w:b/>
                <w:bCs/>
                <w:sz w:val="24"/>
                <w:szCs w:val="24"/>
              </w:rPr>
            </w:pPr>
            <w:r w:rsidRPr="00343752">
              <w:rPr>
                <w:b/>
                <w:bCs/>
                <w:sz w:val="24"/>
                <w:szCs w:val="24"/>
              </w:rPr>
              <w:t>Учні</w:t>
            </w:r>
          </w:p>
          <w:p w:rsidR="00090F08" w:rsidRPr="00343752" w:rsidRDefault="00090F08" w:rsidP="00D71E9B">
            <w:pPr>
              <w:pStyle w:val="ListParagraph"/>
              <w:ind w:left="0" w:firstLine="0"/>
              <w:jc w:val="center"/>
              <w:rPr>
                <w:sz w:val="24"/>
                <w:szCs w:val="24"/>
                <w:lang w:val="uk-UA"/>
              </w:rPr>
            </w:pPr>
            <w:r w:rsidRPr="00343752">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090F08" w:rsidRPr="00343752" w:rsidRDefault="00090F08" w:rsidP="00D71E9B">
            <w:pPr>
              <w:jc w:val="center"/>
              <w:rPr>
                <w:b/>
                <w:bCs/>
                <w:sz w:val="24"/>
                <w:szCs w:val="24"/>
              </w:rPr>
            </w:pPr>
            <w:r w:rsidRPr="00343752">
              <w:rPr>
                <w:b/>
                <w:bCs/>
                <w:sz w:val="24"/>
                <w:szCs w:val="24"/>
              </w:rPr>
              <w:t>Їхні батьки</w:t>
            </w:r>
          </w:p>
          <w:p w:rsidR="00090F08" w:rsidRPr="00343752" w:rsidRDefault="00090F08" w:rsidP="00D71E9B">
            <w:pPr>
              <w:pStyle w:val="ListParagraph"/>
              <w:ind w:left="0" w:firstLine="0"/>
              <w:jc w:val="center"/>
              <w:rPr>
                <w:sz w:val="24"/>
                <w:szCs w:val="24"/>
                <w:lang w:val="uk-UA"/>
              </w:rPr>
            </w:pPr>
            <w:r w:rsidRPr="00343752">
              <w:rPr>
                <w:sz w:val="24"/>
                <w:szCs w:val="24"/>
                <w:lang w:val="uk-UA"/>
              </w:rPr>
              <w:t>4</w:t>
            </w:r>
          </w:p>
        </w:tc>
      </w:tr>
      <w:tr w:rsidR="00090F08" w:rsidRPr="00343752" w:rsidTr="00D71E9B">
        <w:trPr>
          <w:cantSplit/>
          <w:trHeight w:val="1376"/>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090F08" w:rsidRPr="00343752" w:rsidRDefault="00090F08" w:rsidP="00D71E9B">
            <w:pPr>
              <w:jc w:val="center"/>
              <w:rPr>
                <w:b/>
                <w:bCs/>
                <w:sz w:val="24"/>
                <w:szCs w:val="24"/>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090F08" w:rsidRPr="00343752" w:rsidRDefault="00090F08" w:rsidP="00D71E9B">
            <w:pPr>
              <w:jc w:val="center"/>
              <w:rPr>
                <w:b/>
                <w:bCs/>
              </w:rPr>
            </w:pPr>
            <w:r w:rsidRPr="00343752">
              <w:rPr>
                <w:b/>
                <w:bCs/>
              </w:rPr>
              <w:t xml:space="preserve">Сума балів опитаних </w:t>
            </w:r>
            <w:proofErr w:type="spellStart"/>
            <w:r w:rsidRPr="00343752">
              <w:rPr>
                <w:b/>
                <w:bCs/>
              </w:rPr>
              <w:t>чл.адмініс-тра-ції</w:t>
            </w:r>
            <w:proofErr w:type="spellEnd"/>
            <w:r w:rsidRPr="00343752">
              <w:rPr>
                <w:b/>
                <w:bCs/>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090F08" w:rsidRPr="00343752" w:rsidRDefault="00090F08" w:rsidP="00D71E9B">
            <w:pPr>
              <w:jc w:val="center"/>
              <w:rPr>
                <w:b/>
                <w:bCs/>
              </w:rPr>
            </w:pPr>
            <w:proofErr w:type="spellStart"/>
            <w:r w:rsidRPr="00343752">
              <w:rPr>
                <w:b/>
                <w:bCs/>
              </w:rPr>
              <w:t>К-ть</w:t>
            </w:r>
            <w:proofErr w:type="spellEnd"/>
            <w:r w:rsidRPr="00343752">
              <w:rPr>
                <w:b/>
                <w:bCs/>
              </w:rPr>
              <w:t xml:space="preserve"> опитаних </w:t>
            </w:r>
            <w:proofErr w:type="spellStart"/>
            <w:r w:rsidRPr="00343752">
              <w:rPr>
                <w:b/>
                <w:bCs/>
              </w:rPr>
              <w:t>чл.адміністрації</w:t>
            </w:r>
            <w:proofErr w:type="spellEnd"/>
            <w:r w:rsidRPr="00343752">
              <w:rPr>
                <w:b/>
                <w:bCs/>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090F08" w:rsidRPr="00343752" w:rsidRDefault="00090F08" w:rsidP="00D71E9B">
            <w:pPr>
              <w:jc w:val="center"/>
              <w:rPr>
                <w:b/>
                <w:bCs/>
              </w:rPr>
            </w:pPr>
            <w:r w:rsidRPr="00343752">
              <w:rPr>
                <w:b/>
                <w:bCs/>
              </w:rPr>
              <w:t xml:space="preserve">Середня </w:t>
            </w:r>
            <w:proofErr w:type="spellStart"/>
            <w:r w:rsidRPr="00343752">
              <w:rPr>
                <w:b/>
                <w:bCs/>
              </w:rPr>
              <w:t>к-ть</w:t>
            </w:r>
            <w:proofErr w:type="spellEnd"/>
            <w:r w:rsidRPr="00343752">
              <w:rPr>
                <w:b/>
                <w:bCs/>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090F08" w:rsidRPr="00343752" w:rsidRDefault="00090F08" w:rsidP="00D71E9B">
            <w:pPr>
              <w:jc w:val="center"/>
              <w:rPr>
                <w:b/>
                <w:bCs/>
              </w:rPr>
            </w:pPr>
            <w:r w:rsidRPr="00343752">
              <w:rPr>
                <w:b/>
                <w:bCs/>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090F08" w:rsidRPr="00343752" w:rsidRDefault="00090F08" w:rsidP="00D71E9B">
            <w:pPr>
              <w:jc w:val="center"/>
              <w:rPr>
                <w:b/>
                <w:bCs/>
              </w:rPr>
            </w:pPr>
            <w:proofErr w:type="spellStart"/>
            <w:r w:rsidRPr="00343752">
              <w:rPr>
                <w:b/>
                <w:bCs/>
              </w:rPr>
              <w:t>К-ть</w:t>
            </w:r>
            <w:proofErr w:type="spellEnd"/>
            <w:r w:rsidRPr="00343752">
              <w:rPr>
                <w:b/>
                <w:bCs/>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090F08" w:rsidRPr="00343752" w:rsidRDefault="00090F08" w:rsidP="00D71E9B">
            <w:pPr>
              <w:jc w:val="center"/>
              <w:rPr>
                <w:b/>
                <w:bCs/>
              </w:rPr>
            </w:pPr>
            <w:r w:rsidRPr="00343752">
              <w:rPr>
                <w:b/>
                <w:bCs/>
              </w:rPr>
              <w:t xml:space="preserve">Середня </w:t>
            </w:r>
            <w:proofErr w:type="spellStart"/>
            <w:r w:rsidRPr="00343752">
              <w:rPr>
                <w:b/>
                <w:bCs/>
              </w:rPr>
              <w:t>к-ть</w:t>
            </w:r>
            <w:proofErr w:type="spellEnd"/>
            <w:r w:rsidRPr="00343752">
              <w:rPr>
                <w:b/>
                <w:bCs/>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090F08" w:rsidRPr="00343752" w:rsidRDefault="00090F08" w:rsidP="00D71E9B">
            <w:pPr>
              <w:jc w:val="center"/>
              <w:rPr>
                <w:b/>
                <w:bCs/>
              </w:rPr>
            </w:pPr>
            <w:r w:rsidRPr="00343752">
              <w:rPr>
                <w:b/>
                <w:bCs/>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090F08" w:rsidRPr="00343752" w:rsidRDefault="00090F08" w:rsidP="00D71E9B">
            <w:pPr>
              <w:jc w:val="center"/>
              <w:rPr>
                <w:b/>
                <w:bCs/>
              </w:rPr>
            </w:pPr>
            <w:proofErr w:type="spellStart"/>
            <w:r w:rsidRPr="00343752">
              <w:rPr>
                <w:b/>
                <w:bCs/>
              </w:rPr>
              <w:t>К-ть</w:t>
            </w:r>
            <w:proofErr w:type="spellEnd"/>
            <w:r w:rsidRPr="00343752">
              <w:rPr>
                <w:b/>
                <w:bCs/>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090F08" w:rsidRPr="00343752" w:rsidRDefault="00090F08" w:rsidP="00D71E9B">
            <w:pPr>
              <w:jc w:val="center"/>
              <w:rPr>
                <w:b/>
                <w:bCs/>
              </w:rPr>
            </w:pPr>
            <w:r w:rsidRPr="00343752">
              <w:rPr>
                <w:b/>
                <w:bCs/>
              </w:rPr>
              <w:t xml:space="preserve">Середня </w:t>
            </w:r>
            <w:proofErr w:type="spellStart"/>
            <w:r w:rsidRPr="00343752">
              <w:rPr>
                <w:b/>
                <w:bCs/>
              </w:rPr>
              <w:t>к-ть</w:t>
            </w:r>
            <w:proofErr w:type="spellEnd"/>
            <w:r w:rsidRPr="00343752">
              <w:rPr>
                <w:b/>
                <w:bCs/>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090F08" w:rsidRPr="00343752" w:rsidRDefault="00090F08" w:rsidP="00D71E9B">
            <w:pPr>
              <w:jc w:val="center"/>
              <w:rPr>
                <w:b/>
                <w:bCs/>
              </w:rPr>
            </w:pPr>
            <w:r w:rsidRPr="00343752">
              <w:rPr>
                <w:b/>
                <w:bCs/>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090F08" w:rsidRPr="00343752" w:rsidRDefault="00090F08" w:rsidP="00D71E9B">
            <w:pPr>
              <w:jc w:val="center"/>
              <w:rPr>
                <w:b/>
                <w:bCs/>
              </w:rPr>
            </w:pPr>
            <w:proofErr w:type="spellStart"/>
            <w:r w:rsidRPr="00343752">
              <w:rPr>
                <w:b/>
                <w:bCs/>
              </w:rPr>
              <w:t>К-ть</w:t>
            </w:r>
            <w:proofErr w:type="spellEnd"/>
            <w:r w:rsidRPr="00343752">
              <w:rPr>
                <w:b/>
                <w:bCs/>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090F08" w:rsidRPr="00343752" w:rsidRDefault="00090F08" w:rsidP="00D71E9B">
            <w:pPr>
              <w:jc w:val="center"/>
              <w:rPr>
                <w:b/>
                <w:bCs/>
              </w:rPr>
            </w:pPr>
            <w:r w:rsidRPr="00343752">
              <w:rPr>
                <w:b/>
                <w:bCs/>
              </w:rPr>
              <w:t xml:space="preserve">Середня </w:t>
            </w:r>
            <w:proofErr w:type="spellStart"/>
            <w:r w:rsidRPr="00343752">
              <w:rPr>
                <w:b/>
                <w:bCs/>
              </w:rPr>
              <w:t>к-ть</w:t>
            </w:r>
            <w:proofErr w:type="spellEnd"/>
            <w:r w:rsidRPr="00343752">
              <w:rPr>
                <w:b/>
                <w:bCs/>
              </w:rPr>
              <w:t xml:space="preserve"> балів 4 (А/Б)</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3,5</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16,9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3,38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2,9</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25,99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3,2</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7,12</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3,5</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13,9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2,78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55,7</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2,7</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22,53</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2,8</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6,8</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3,4</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15,9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3,18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54,2</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2,7</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24,6</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3,1</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3,7</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17,5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3,5</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61,3</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3,1</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25,7</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3,2</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7,2</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3,6</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18,1</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3,6</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62,1</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3,1</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28,4</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3,5</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7,1</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3,5</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15,6</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3,1</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59,5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2,9</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24,0</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3,0</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7,6</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18,6</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3,7</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63,5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3,2</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27,4</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3,4</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3,9</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18,9</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3,78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63,5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3,2</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28,5</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3,5</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7,7</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3,8</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17,1</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3,4</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63,2</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3,2</w:t>
            </w:r>
          </w:p>
        </w:tc>
        <w:tc>
          <w:tcPr>
            <w:tcW w:w="898"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27,7</w:t>
            </w:r>
          </w:p>
        </w:tc>
        <w:tc>
          <w:tcPr>
            <w:tcW w:w="899"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4"/>
                <w:szCs w:val="24"/>
              </w:rPr>
            </w:pPr>
            <w:r>
              <w:rPr>
                <w:b/>
                <w:bCs/>
                <w:sz w:val="24"/>
                <w:szCs w:val="24"/>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3,5</w:t>
            </w:r>
          </w:p>
        </w:tc>
      </w:tr>
      <w:tr w:rsidR="00090F08" w:rsidRPr="00343752" w:rsidTr="00D71E9B">
        <w:trPr>
          <w:jc w:val="right"/>
        </w:trPr>
        <w:tc>
          <w:tcPr>
            <w:tcW w:w="3462" w:type="dxa"/>
            <w:tcBorders>
              <w:top w:val="single" w:sz="4" w:space="0" w:color="000000"/>
              <w:left w:val="single" w:sz="4" w:space="0" w:color="000000"/>
              <w:bottom w:val="single" w:sz="4" w:space="0" w:color="000000"/>
              <w:right w:val="single" w:sz="4" w:space="0" w:color="000000"/>
            </w:tcBorders>
          </w:tcPr>
          <w:p w:rsidR="00090F08" w:rsidRPr="00343752" w:rsidRDefault="00090F08" w:rsidP="00D71E9B">
            <w:pPr>
              <w:rPr>
                <w:b/>
                <w:bCs/>
                <w:sz w:val="22"/>
                <w:szCs w:val="22"/>
              </w:rPr>
            </w:pPr>
            <w:r w:rsidRPr="00343752">
              <w:rPr>
                <w:b/>
                <w:bCs/>
                <w:sz w:val="22"/>
                <w:szCs w:val="22"/>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090F08" w:rsidRPr="00343752" w:rsidRDefault="00090F08" w:rsidP="00D71E9B">
            <w:pPr>
              <w:rPr>
                <w:b/>
                <w:bCs/>
                <w:sz w:val="24"/>
                <w:szCs w:val="24"/>
              </w:rPr>
            </w:pPr>
            <w:r>
              <w:rPr>
                <w:b/>
                <w:bCs/>
                <w:sz w:val="24"/>
                <w:szCs w:val="24"/>
              </w:rPr>
              <w:t>32,7</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090F08" w:rsidRPr="00343752" w:rsidRDefault="00090F08" w:rsidP="00D71E9B">
            <w:pPr>
              <w:rPr>
                <w:b/>
                <w:bCs/>
                <w:sz w:val="24"/>
                <w:szCs w:val="24"/>
              </w:rPr>
            </w:pPr>
            <w:r>
              <w:rPr>
                <w:b/>
                <w:bCs/>
                <w:sz w:val="24"/>
                <w:szCs w:val="24"/>
              </w:rPr>
              <w:t>30,42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090F08" w:rsidRPr="00343752" w:rsidRDefault="00090F08" w:rsidP="00D71E9B">
            <w:pPr>
              <w:rPr>
                <w:b/>
                <w:bCs/>
                <w:sz w:val="24"/>
                <w:szCs w:val="24"/>
              </w:rPr>
            </w:pPr>
            <w:r>
              <w:rPr>
                <w:b/>
                <w:bCs/>
                <w:sz w:val="24"/>
                <w:szCs w:val="24"/>
              </w:rPr>
              <w:t>27</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090F08" w:rsidRPr="00343752" w:rsidRDefault="00090F08" w:rsidP="00D71E9B">
            <w:pPr>
              <w:rPr>
                <w:b/>
                <w:bCs/>
                <w:sz w:val="24"/>
                <w:szCs w:val="24"/>
              </w:rPr>
            </w:pPr>
            <w:r>
              <w:rPr>
                <w:b/>
                <w:bCs/>
                <w:sz w:val="24"/>
                <w:szCs w:val="24"/>
              </w:rPr>
              <w:t>29,2</w:t>
            </w:r>
          </w:p>
        </w:tc>
      </w:tr>
    </w:tbl>
    <w:p w:rsidR="00090F08" w:rsidRPr="00343752" w:rsidRDefault="00090F08" w:rsidP="00090F08">
      <w:r w:rsidRPr="00343752">
        <w:t xml:space="preserve"> </w:t>
      </w:r>
    </w:p>
    <w:p w:rsidR="00090F08" w:rsidRPr="00343752" w:rsidRDefault="00090F08" w:rsidP="00090F08">
      <w:pPr>
        <w:pStyle w:val="ListParagraph"/>
        <w:rPr>
          <w:lang w:val="uk-UA"/>
        </w:rPr>
        <w:sectPr w:rsidR="00090F08" w:rsidRPr="00343752" w:rsidSect="00B443EE">
          <w:pgSz w:w="16838" w:h="11906" w:orient="landscape"/>
          <w:pgMar w:top="567" w:right="1134" w:bottom="851" w:left="1134" w:header="709" w:footer="709" w:gutter="0"/>
          <w:cols w:space="708"/>
          <w:docGrid w:linePitch="381"/>
        </w:sectPr>
      </w:pPr>
    </w:p>
    <w:p w:rsidR="00090F08" w:rsidRPr="00A53402" w:rsidRDefault="00090F08" w:rsidP="00090F08">
      <w:pPr>
        <w:pStyle w:val="ListParagraph"/>
        <w:ind w:left="0"/>
        <w:jc w:val="center"/>
        <w:rPr>
          <w:b/>
          <w:bCs/>
          <w:i/>
          <w:color w:val="0000FF"/>
          <w:lang w:val="uk-UA"/>
        </w:rPr>
      </w:pPr>
      <w:r w:rsidRPr="00A53402">
        <w:rPr>
          <w:b/>
          <w:bCs/>
          <w:i/>
          <w:color w:val="0000FF"/>
          <w:lang w:val="uk-UA"/>
        </w:rPr>
        <w:lastRenderedPageBreak/>
        <w:t>Зведені результати опитування</w:t>
      </w:r>
    </w:p>
    <w:p w:rsidR="00090F08" w:rsidRDefault="00090F08" w:rsidP="00090F08">
      <w:pPr>
        <w:spacing w:line="360" w:lineRule="auto"/>
        <w:ind w:firstLine="709"/>
        <w:jc w:val="both"/>
        <w:rPr>
          <w:sz w:val="28"/>
        </w:rPr>
      </w:pPr>
      <w:r>
        <w:rPr>
          <w:sz w:val="28"/>
        </w:rPr>
        <w:t>На підставі результатів таблиці можна стверджувати, що вчителі, учні та батьки мають однакові можливості, щодо участі у прийнятті рішень, співпраці та активної участі у навчально-виховному процесі.  Це відбувається завдяки налагодженій роботі  Ради школи, учнівського самоврядування, проведення щорічних традиційних батьківських конференцій, на яких підводяться підсумки роботи за навчальний рік кращих учнівських колективів, окремих учнів, педагогів та батьків.</w:t>
      </w:r>
    </w:p>
    <w:p w:rsidR="00090F08" w:rsidRDefault="00090F08" w:rsidP="00090F08">
      <w:pPr>
        <w:spacing w:line="360" w:lineRule="auto"/>
        <w:ind w:firstLine="708"/>
        <w:jc w:val="both"/>
        <w:rPr>
          <w:sz w:val="28"/>
        </w:rPr>
      </w:pPr>
      <w:r>
        <w:rPr>
          <w:sz w:val="28"/>
        </w:rPr>
        <w:t xml:space="preserve">На достатньо високому рівні в школі проводиться превентивна освіта у закладі. З 2013-2014 навчального року у школі ведеться </w:t>
      </w:r>
      <w:proofErr w:type="spellStart"/>
      <w:r>
        <w:rPr>
          <w:sz w:val="28"/>
        </w:rPr>
        <w:t>тренінговий</w:t>
      </w:r>
      <w:proofErr w:type="spellEnd"/>
      <w:r>
        <w:rPr>
          <w:sz w:val="28"/>
        </w:rPr>
        <w:t xml:space="preserve">  курс «Захисти себе від ВІЛ» та інтерактивна навчальна виставка  з питань репродуктивного здоров’я «Маршрут безпеки». 21 листопада 2013 року було проведено</w:t>
      </w:r>
      <w:r w:rsidRPr="00570D2E">
        <w:rPr>
          <w:sz w:val="28"/>
        </w:rPr>
        <w:t xml:space="preserve"> </w:t>
      </w:r>
      <w:r>
        <w:rPr>
          <w:sz w:val="28"/>
        </w:rPr>
        <w:t>постійно-діючий семінар</w:t>
      </w:r>
      <w:r w:rsidRPr="00771050">
        <w:rPr>
          <w:sz w:val="28"/>
        </w:rPr>
        <w:t xml:space="preserve"> директорів  шкіл та їх заступників Кіровського міського відділу освіти Донецької області</w:t>
      </w:r>
      <w:r>
        <w:rPr>
          <w:sz w:val="28"/>
        </w:rPr>
        <w:t xml:space="preserve"> з теми:«Модернізація освітнього середовища та оптимізація умов навчання шляхом розроблення та впровадження нових </w:t>
      </w:r>
      <w:proofErr w:type="spellStart"/>
      <w:r>
        <w:rPr>
          <w:sz w:val="28"/>
        </w:rPr>
        <w:t>здоров’язберігаючих</w:t>
      </w:r>
      <w:proofErr w:type="spellEnd"/>
      <w:r>
        <w:rPr>
          <w:sz w:val="28"/>
        </w:rPr>
        <w:t xml:space="preserve"> технологій» за планом:</w:t>
      </w:r>
    </w:p>
    <w:p w:rsidR="00090F08" w:rsidRDefault="00090F08" w:rsidP="00090F08">
      <w:pPr>
        <w:spacing w:line="360" w:lineRule="auto"/>
        <w:jc w:val="both"/>
        <w:rPr>
          <w:sz w:val="28"/>
        </w:rPr>
      </w:pPr>
      <w:r>
        <w:rPr>
          <w:sz w:val="28"/>
        </w:rPr>
        <w:t xml:space="preserve">– </w:t>
      </w:r>
      <w:proofErr w:type="spellStart"/>
      <w:r>
        <w:rPr>
          <w:sz w:val="28"/>
        </w:rPr>
        <w:t>Флешмоб</w:t>
      </w:r>
      <w:proofErr w:type="spellEnd"/>
      <w:r>
        <w:rPr>
          <w:sz w:val="28"/>
        </w:rPr>
        <w:t xml:space="preserve"> «Спорт, здоров’я, дружба, мир – головний у нас кумир». Відповідальна </w:t>
      </w:r>
      <w:proofErr w:type="spellStart"/>
      <w:r>
        <w:rPr>
          <w:sz w:val="28"/>
        </w:rPr>
        <w:t>Чебанова</w:t>
      </w:r>
      <w:proofErr w:type="spellEnd"/>
      <w:r>
        <w:rPr>
          <w:sz w:val="28"/>
        </w:rPr>
        <w:t xml:space="preserve"> Л.М. – педагог-організатор</w:t>
      </w:r>
    </w:p>
    <w:p w:rsidR="00090F08" w:rsidRDefault="00090F08" w:rsidP="00090F08">
      <w:pPr>
        <w:spacing w:line="360" w:lineRule="auto"/>
        <w:jc w:val="both"/>
        <w:rPr>
          <w:sz w:val="30"/>
          <w:szCs w:val="30"/>
        </w:rPr>
      </w:pPr>
      <w:r>
        <w:rPr>
          <w:sz w:val="30"/>
          <w:szCs w:val="30"/>
        </w:rPr>
        <w:t xml:space="preserve">– використання </w:t>
      </w:r>
      <w:proofErr w:type="spellStart"/>
      <w:r>
        <w:rPr>
          <w:sz w:val="30"/>
          <w:szCs w:val="30"/>
        </w:rPr>
        <w:t>арт-</w:t>
      </w:r>
      <w:proofErr w:type="spellEnd"/>
      <w:r>
        <w:rPr>
          <w:sz w:val="30"/>
          <w:szCs w:val="30"/>
        </w:rPr>
        <w:t xml:space="preserve">, </w:t>
      </w:r>
      <w:proofErr w:type="spellStart"/>
      <w:r>
        <w:rPr>
          <w:sz w:val="30"/>
          <w:szCs w:val="30"/>
        </w:rPr>
        <w:t>арома-</w:t>
      </w:r>
      <w:proofErr w:type="spellEnd"/>
      <w:r>
        <w:rPr>
          <w:sz w:val="30"/>
          <w:szCs w:val="30"/>
        </w:rPr>
        <w:t xml:space="preserve">, музо-терапії на інтегрованому уроці з основ здоров’я та образотворчого мистецтва в 2-Б класі. Вчитель початкових класів </w:t>
      </w:r>
      <w:proofErr w:type="spellStart"/>
      <w:r>
        <w:rPr>
          <w:sz w:val="30"/>
          <w:szCs w:val="30"/>
        </w:rPr>
        <w:t>Огула</w:t>
      </w:r>
      <w:proofErr w:type="spellEnd"/>
      <w:r>
        <w:rPr>
          <w:sz w:val="30"/>
          <w:szCs w:val="30"/>
        </w:rPr>
        <w:t xml:space="preserve"> О.С.</w:t>
      </w:r>
    </w:p>
    <w:p w:rsidR="00090F08" w:rsidRDefault="00090F08" w:rsidP="00090F08">
      <w:pPr>
        <w:spacing w:line="360" w:lineRule="auto"/>
        <w:jc w:val="both"/>
        <w:rPr>
          <w:sz w:val="30"/>
          <w:szCs w:val="30"/>
        </w:rPr>
      </w:pPr>
      <w:r>
        <w:rPr>
          <w:sz w:val="30"/>
          <w:szCs w:val="30"/>
        </w:rPr>
        <w:t xml:space="preserve">– формування </w:t>
      </w:r>
      <w:proofErr w:type="spellStart"/>
      <w:r>
        <w:rPr>
          <w:sz w:val="30"/>
          <w:szCs w:val="30"/>
        </w:rPr>
        <w:t>здоров’язберігаючої</w:t>
      </w:r>
      <w:proofErr w:type="spellEnd"/>
      <w:r>
        <w:rPr>
          <w:sz w:val="30"/>
          <w:szCs w:val="30"/>
        </w:rPr>
        <w:t xml:space="preserve"> компетенції учнів на уроках біології. Фрагмент уроку в 9-му класі з теми:»Гігієна дихання. Захворювання органів дихання». Вчитель біології </w:t>
      </w:r>
      <w:proofErr w:type="spellStart"/>
      <w:r>
        <w:rPr>
          <w:sz w:val="30"/>
          <w:szCs w:val="30"/>
        </w:rPr>
        <w:t>Бєлова</w:t>
      </w:r>
      <w:proofErr w:type="spellEnd"/>
      <w:r>
        <w:rPr>
          <w:sz w:val="30"/>
          <w:szCs w:val="30"/>
        </w:rPr>
        <w:t xml:space="preserve"> О.Я.</w:t>
      </w:r>
    </w:p>
    <w:p w:rsidR="00090F08" w:rsidRDefault="00090F08" w:rsidP="00090F08">
      <w:pPr>
        <w:spacing w:line="360" w:lineRule="auto"/>
        <w:jc w:val="both"/>
        <w:rPr>
          <w:sz w:val="30"/>
          <w:szCs w:val="30"/>
        </w:rPr>
      </w:pPr>
      <w:r>
        <w:rPr>
          <w:sz w:val="30"/>
          <w:szCs w:val="30"/>
        </w:rPr>
        <w:t>– робота учнівського самоврядування в організації дозвілля учнів на перервах.</w:t>
      </w:r>
    </w:p>
    <w:p w:rsidR="00090F08" w:rsidRDefault="00090F08" w:rsidP="00090F08">
      <w:pPr>
        <w:spacing w:line="360" w:lineRule="auto"/>
        <w:jc w:val="both"/>
        <w:rPr>
          <w:sz w:val="28"/>
        </w:rPr>
      </w:pPr>
      <w:r>
        <w:rPr>
          <w:sz w:val="28"/>
        </w:rPr>
        <w:t xml:space="preserve">– «Маршрут безпеки»: успішний комунікативний метод пропагування здорового способу життя для учнів 8-9 класів, тренер Добриніна І.С.  </w:t>
      </w:r>
    </w:p>
    <w:p w:rsidR="00090F08" w:rsidRDefault="00090F08" w:rsidP="00090F08">
      <w:pPr>
        <w:spacing w:line="360" w:lineRule="auto"/>
        <w:jc w:val="both"/>
        <w:rPr>
          <w:sz w:val="28"/>
        </w:rPr>
      </w:pPr>
      <w:r>
        <w:rPr>
          <w:sz w:val="28"/>
        </w:rPr>
        <w:lastRenderedPageBreak/>
        <w:t xml:space="preserve"> – формування соціальних та духовних цінностей через виховний захід «Будьте </w:t>
      </w:r>
      <w:proofErr w:type="spellStart"/>
      <w:r>
        <w:rPr>
          <w:sz w:val="28"/>
        </w:rPr>
        <w:t>добрыми</w:t>
      </w:r>
      <w:proofErr w:type="spellEnd"/>
      <w:r>
        <w:rPr>
          <w:sz w:val="28"/>
        </w:rPr>
        <w:t xml:space="preserve"> и </w:t>
      </w:r>
      <w:proofErr w:type="spellStart"/>
      <w:r>
        <w:rPr>
          <w:sz w:val="28"/>
        </w:rPr>
        <w:t>человечными</w:t>
      </w:r>
      <w:proofErr w:type="spellEnd"/>
      <w:r>
        <w:rPr>
          <w:sz w:val="28"/>
        </w:rPr>
        <w:t xml:space="preserve">». Заступник директора з виховної роботи </w:t>
      </w:r>
      <w:proofErr w:type="spellStart"/>
      <w:r>
        <w:rPr>
          <w:sz w:val="28"/>
        </w:rPr>
        <w:t>Цюпка</w:t>
      </w:r>
      <w:proofErr w:type="spellEnd"/>
      <w:r>
        <w:rPr>
          <w:sz w:val="28"/>
        </w:rPr>
        <w:t xml:space="preserve"> О.О., вчитель російської мови та літератури </w:t>
      </w:r>
      <w:proofErr w:type="spellStart"/>
      <w:r>
        <w:rPr>
          <w:sz w:val="28"/>
        </w:rPr>
        <w:t>Атаманенко</w:t>
      </w:r>
      <w:proofErr w:type="spellEnd"/>
      <w:r>
        <w:rPr>
          <w:sz w:val="28"/>
        </w:rPr>
        <w:t xml:space="preserve"> І.Ф.</w:t>
      </w:r>
    </w:p>
    <w:p w:rsidR="00090F08" w:rsidRDefault="00090F08" w:rsidP="00090F08">
      <w:pPr>
        <w:spacing w:line="360" w:lineRule="auto"/>
        <w:jc w:val="both"/>
        <w:rPr>
          <w:sz w:val="28"/>
        </w:rPr>
      </w:pPr>
      <w:r>
        <w:rPr>
          <w:sz w:val="28"/>
        </w:rPr>
        <w:tab/>
        <w:t xml:space="preserve">Школа сприяє творчому розвитку кожної особистості. Щорічно проводяться конкурси та змагання, де кожен може проявити свої здібності. Але дітям цього недостатньо, тому </w:t>
      </w:r>
    </w:p>
    <w:p w:rsidR="00090F08" w:rsidRDefault="00090F08" w:rsidP="00090F08">
      <w:pPr>
        <w:spacing w:line="360" w:lineRule="auto"/>
        <w:ind w:firstLine="708"/>
        <w:jc w:val="both"/>
        <w:rPr>
          <w:sz w:val="28"/>
        </w:rPr>
      </w:pPr>
      <w:r>
        <w:rPr>
          <w:sz w:val="28"/>
        </w:rPr>
        <w:t xml:space="preserve">Самий низький бал  виставили  учні, батьки та вчителі у ІІ блоці «Забезпечення та дотримання належних санітарно-гігієнічних умов». Це пов’язано з низьким матеріальним забезпеченням навчальних закладів, але завдяки підтримки батьків у 2013-2014 навчальному році були відремонтовані туалетні кімнати для учнів початкових класів у ІІ та ІІІ блоках, для дівчаток старших класів на другому поверсі та для хлопців старших класів на третьому поверсі. Майже  стовідсотково учні школи забезпечені гарячім харчуванням. </w:t>
      </w:r>
    </w:p>
    <w:p w:rsidR="00090F08" w:rsidRDefault="00090F08" w:rsidP="00090F08">
      <w:pPr>
        <w:spacing w:line="360" w:lineRule="auto"/>
        <w:ind w:firstLine="708"/>
        <w:jc w:val="both"/>
        <w:rPr>
          <w:sz w:val="28"/>
        </w:rPr>
      </w:pPr>
      <w:r>
        <w:rPr>
          <w:sz w:val="28"/>
        </w:rPr>
        <w:t>Наша школа співпрацює з охоронним бюро «Вітчизна», що забезпечує правопорядок та безпечні умови навчання.</w:t>
      </w:r>
    </w:p>
    <w:p w:rsidR="00090F08" w:rsidRPr="00090F08" w:rsidRDefault="00090F08" w:rsidP="00090F08">
      <w:pPr>
        <w:spacing w:line="360" w:lineRule="auto"/>
        <w:jc w:val="both"/>
        <w:rPr>
          <w:sz w:val="28"/>
          <w:szCs w:val="28"/>
        </w:rPr>
      </w:pPr>
      <w:r>
        <w:rPr>
          <w:sz w:val="28"/>
        </w:rPr>
        <w:t xml:space="preserve">Протягом трьох років не було зафіксовано жодного випадку щодо жорстокого поводження. Наявна наочна інформація де вказані номери телефонів довіри, ця інформація розміщена також  на сайті школи. Здійснюється сумісна робота з ССД </w:t>
      </w:r>
      <w:r w:rsidRPr="00090F08">
        <w:rPr>
          <w:sz w:val="28"/>
          <w:szCs w:val="28"/>
        </w:rPr>
        <w:t>ВКМСД та ЦСССД</w:t>
      </w:r>
    </w:p>
    <w:p w:rsidR="00090F08" w:rsidRPr="00090F08" w:rsidRDefault="00090F08" w:rsidP="00090F08">
      <w:pPr>
        <w:spacing w:line="360" w:lineRule="auto"/>
        <w:jc w:val="both"/>
        <w:rPr>
          <w:sz w:val="28"/>
          <w:szCs w:val="28"/>
        </w:rPr>
      </w:pPr>
      <w:r w:rsidRPr="00090F08">
        <w:rPr>
          <w:sz w:val="28"/>
          <w:szCs w:val="28"/>
        </w:rPr>
        <w:tab/>
        <w:t xml:space="preserve">         Виходячи з вищесказаного можна зазначити, що виховна діяльність у школі поряд з позитивними моментами ще має деякі недоліки, над якими потрібно спільно працювати і вчителям, і учням, і батькам. І це нормальний процес, бо, як відомо, світ не стоїть на місці, він постійно змінюється, змінюючи нас і наше ставлення до нього. </w:t>
      </w:r>
    </w:p>
    <w:p w:rsidR="003D11B0" w:rsidRDefault="003D11B0"/>
    <w:sectPr w:rsidR="003D11B0" w:rsidSect="00090F0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0F08"/>
    <w:rsid w:val="00090F08"/>
    <w:rsid w:val="003D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0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90F08"/>
    <w:pPr>
      <w:spacing w:line="360" w:lineRule="auto"/>
      <w:ind w:left="720" w:firstLine="709"/>
      <w:jc w:val="both"/>
    </w:pPr>
    <w:rPr>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4093</Characters>
  <Application>Microsoft Office Word</Application>
  <DocSecurity>0</DocSecurity>
  <Lines>34</Lines>
  <Paragraphs>9</Paragraphs>
  <ScaleCrop>false</ScaleCrop>
  <Company>Krokoz™</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2014-06-06T08:10:00Z</dcterms:created>
  <dcterms:modified xsi:type="dcterms:W3CDTF">2014-06-06T08:19:00Z</dcterms:modified>
</cp:coreProperties>
</file>