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B" w:rsidRDefault="00E803EC" w:rsidP="00E803EC">
      <w:pPr>
        <w:jc w:val="center"/>
        <w:rPr>
          <w:sz w:val="28"/>
          <w:lang w:val="uk-UA"/>
        </w:rPr>
      </w:pPr>
      <w:r w:rsidRPr="00E803EC">
        <w:rPr>
          <w:sz w:val="28"/>
          <w:lang w:val="uk-UA"/>
        </w:rPr>
        <w:t>Середня кількість балів  учасників  для кожного  з  дев</w:t>
      </w:r>
      <w:r w:rsidRPr="00E803EC">
        <w:rPr>
          <w:rFonts w:cstheme="minorHAnsi"/>
          <w:sz w:val="28"/>
          <w:lang w:val="uk-UA"/>
        </w:rPr>
        <w:t>'</w:t>
      </w:r>
      <w:r w:rsidRPr="00E803EC">
        <w:rPr>
          <w:sz w:val="28"/>
          <w:lang w:val="uk-UA"/>
        </w:rPr>
        <w:t xml:space="preserve">яти  блоків та їхня загальна сума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941"/>
        <w:gridCol w:w="729"/>
        <w:gridCol w:w="1346"/>
        <w:gridCol w:w="1143"/>
        <w:gridCol w:w="1085"/>
        <w:gridCol w:w="1047"/>
        <w:gridCol w:w="1087"/>
        <w:gridCol w:w="898"/>
        <w:gridCol w:w="1403"/>
        <w:gridCol w:w="918"/>
      </w:tblGrid>
      <w:tr w:rsidR="00E803EC" w:rsidRPr="00F6158E" w:rsidTr="0088766F">
        <w:trPr>
          <w:trHeight w:val="842"/>
        </w:trPr>
        <w:tc>
          <w:tcPr>
            <w:tcW w:w="3652" w:type="dxa"/>
            <w:vMerge w:val="restart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  <w:p w:rsidR="00E803EC" w:rsidRPr="00F6158E" w:rsidRDefault="00E803EC" w:rsidP="00E803EC">
            <w:pPr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>Блоки контролю якості</w:t>
            </w:r>
          </w:p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2784" w:type="dxa"/>
            <w:gridSpan w:val="3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color w:val="E36C0A" w:themeColor="accent6" w:themeShade="BF"/>
                <w:lang w:val="uk-UA"/>
              </w:rPr>
            </w:pPr>
            <w:r w:rsidRPr="00F6158E">
              <w:rPr>
                <w:lang w:val="uk-UA"/>
              </w:rPr>
              <w:t xml:space="preserve">Адміністрація </w:t>
            </w:r>
          </w:p>
        </w:tc>
        <w:tc>
          <w:tcPr>
            <w:tcW w:w="3218" w:type="dxa"/>
            <w:gridSpan w:val="3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 xml:space="preserve"> Вчителі </w:t>
            </w:r>
          </w:p>
        </w:tc>
        <w:tc>
          <w:tcPr>
            <w:tcW w:w="3219" w:type="dxa"/>
            <w:gridSpan w:val="3"/>
            <w:shd w:val="clear" w:color="auto" w:fill="FBD4B4" w:themeFill="accent6" w:themeFillTint="66"/>
          </w:tcPr>
          <w:p w:rsidR="00E803EC" w:rsidRPr="00F6158E" w:rsidRDefault="0088766F" w:rsidP="00E803EC">
            <w:pPr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 xml:space="preserve">Учні </w:t>
            </w:r>
          </w:p>
        </w:tc>
        <w:tc>
          <w:tcPr>
            <w:tcW w:w="3219" w:type="dxa"/>
            <w:gridSpan w:val="3"/>
            <w:shd w:val="clear" w:color="auto" w:fill="FBD4B4" w:themeFill="accent6" w:themeFillTint="66"/>
          </w:tcPr>
          <w:p w:rsidR="00E803EC" w:rsidRPr="00F6158E" w:rsidRDefault="0088766F" w:rsidP="00E803EC">
            <w:pPr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>Їхні батьки</w:t>
            </w:r>
          </w:p>
        </w:tc>
      </w:tr>
      <w:tr w:rsidR="00F6158E" w:rsidRPr="00F6158E" w:rsidTr="00F6158E">
        <w:trPr>
          <w:cantSplit/>
          <w:trHeight w:val="3079"/>
        </w:trPr>
        <w:tc>
          <w:tcPr>
            <w:tcW w:w="3652" w:type="dxa"/>
            <w:vMerge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rPr>
                <w:lang w:val="uk-UA"/>
              </w:rPr>
            </w:pPr>
            <w:r w:rsidRPr="00F6158E">
              <w:rPr>
                <w:lang w:val="uk-UA"/>
              </w:rPr>
              <w:t xml:space="preserve">Сума  балів  опитаних </w:t>
            </w:r>
            <w:proofErr w:type="spellStart"/>
            <w:r w:rsidRPr="00F6158E">
              <w:rPr>
                <w:lang w:val="uk-UA"/>
              </w:rPr>
              <w:t>чл.адміністрації</w:t>
            </w:r>
            <w:proofErr w:type="spellEnd"/>
            <w:r w:rsidRPr="00F6158E">
              <w:rPr>
                <w:lang w:val="uk-UA"/>
              </w:rPr>
              <w:t xml:space="preserve"> (А) 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rPr>
                <w:lang w:val="uk-UA"/>
              </w:rPr>
            </w:pP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опитаних  </w:t>
            </w:r>
            <w:proofErr w:type="spellStart"/>
            <w:r w:rsidRPr="00F6158E">
              <w:rPr>
                <w:lang w:val="uk-UA"/>
              </w:rPr>
              <w:t>чл.адміністрації</w:t>
            </w:r>
            <w:proofErr w:type="spellEnd"/>
            <w:r w:rsidRPr="00F6158E">
              <w:rPr>
                <w:lang w:val="uk-UA"/>
              </w:rPr>
              <w:t xml:space="preserve"> (Б)</w:t>
            </w:r>
          </w:p>
        </w:tc>
        <w:tc>
          <w:tcPr>
            <w:tcW w:w="941" w:type="dxa"/>
            <w:shd w:val="clear" w:color="auto" w:fill="FBD4B4" w:themeFill="accent6" w:themeFillTint="66"/>
            <w:textDirection w:val="btLr"/>
          </w:tcPr>
          <w:p w:rsidR="00520134" w:rsidRPr="00F6158E" w:rsidRDefault="00520134" w:rsidP="00520134">
            <w:pPr>
              <w:ind w:left="113" w:right="113"/>
              <w:rPr>
                <w:lang w:val="uk-UA"/>
              </w:rPr>
            </w:pPr>
            <w:r w:rsidRPr="00F6158E">
              <w:rPr>
                <w:lang w:val="uk-UA"/>
              </w:rPr>
              <w:t xml:space="preserve">Середня </w:t>
            </w: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балів  1 (А/Б)</w:t>
            </w:r>
          </w:p>
        </w:tc>
        <w:tc>
          <w:tcPr>
            <w:tcW w:w="729" w:type="dxa"/>
            <w:shd w:val="clear" w:color="auto" w:fill="FBD4B4" w:themeFill="accent6" w:themeFillTint="66"/>
            <w:textDirection w:val="btLr"/>
          </w:tcPr>
          <w:p w:rsidR="00520134" w:rsidRPr="00F6158E" w:rsidRDefault="00520134" w:rsidP="00520134">
            <w:pPr>
              <w:ind w:left="113" w:right="113"/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>Сума  балів  опитаних вчителів (А)</w:t>
            </w:r>
          </w:p>
        </w:tc>
        <w:tc>
          <w:tcPr>
            <w:tcW w:w="1346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rPr>
                <w:lang w:val="uk-UA"/>
              </w:rPr>
            </w:pP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опитаних </w:t>
            </w:r>
            <w:r w:rsidR="00F6158E" w:rsidRPr="00F6158E">
              <w:rPr>
                <w:lang w:val="uk-UA"/>
              </w:rPr>
              <w:t>вчителів (Б)</w:t>
            </w:r>
          </w:p>
        </w:tc>
        <w:tc>
          <w:tcPr>
            <w:tcW w:w="1143" w:type="dxa"/>
            <w:shd w:val="clear" w:color="auto" w:fill="FBD4B4" w:themeFill="accent6" w:themeFillTint="66"/>
            <w:textDirection w:val="btLr"/>
          </w:tcPr>
          <w:p w:rsidR="00E803EC" w:rsidRPr="00F6158E" w:rsidRDefault="00F6158E" w:rsidP="00F6158E">
            <w:pPr>
              <w:ind w:left="113" w:right="113"/>
              <w:rPr>
                <w:lang w:val="uk-UA"/>
              </w:rPr>
            </w:pPr>
            <w:r w:rsidRPr="00F6158E">
              <w:rPr>
                <w:lang w:val="uk-UA"/>
              </w:rPr>
              <w:t xml:space="preserve">Середня </w:t>
            </w: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балів  2 (А/Б)</w:t>
            </w:r>
          </w:p>
        </w:tc>
        <w:tc>
          <w:tcPr>
            <w:tcW w:w="1085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>Сума  балів  опитаних  учнів (А)</w:t>
            </w:r>
          </w:p>
        </w:tc>
        <w:tc>
          <w:tcPr>
            <w:tcW w:w="1047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rPr>
                <w:lang w:val="uk-UA"/>
              </w:rPr>
            </w:pP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опитаних</w:t>
            </w:r>
            <w:r w:rsidR="00F6158E" w:rsidRPr="00F6158E">
              <w:rPr>
                <w:lang w:val="uk-UA"/>
              </w:rPr>
              <w:t xml:space="preserve"> учнів (Б)</w:t>
            </w:r>
          </w:p>
        </w:tc>
        <w:tc>
          <w:tcPr>
            <w:tcW w:w="1087" w:type="dxa"/>
            <w:shd w:val="clear" w:color="auto" w:fill="FBD4B4" w:themeFill="accent6" w:themeFillTint="66"/>
            <w:textDirection w:val="btLr"/>
          </w:tcPr>
          <w:p w:rsidR="00E803EC" w:rsidRPr="00F6158E" w:rsidRDefault="00F6158E" w:rsidP="00F6158E">
            <w:pPr>
              <w:ind w:left="113" w:right="113"/>
              <w:rPr>
                <w:lang w:val="uk-UA"/>
              </w:rPr>
            </w:pPr>
            <w:r w:rsidRPr="00F6158E">
              <w:rPr>
                <w:lang w:val="uk-UA"/>
              </w:rPr>
              <w:t xml:space="preserve">Середня </w:t>
            </w: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балів  3 (А/Б)</w:t>
            </w:r>
          </w:p>
        </w:tc>
        <w:tc>
          <w:tcPr>
            <w:tcW w:w="898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jc w:val="center"/>
              <w:rPr>
                <w:lang w:val="uk-UA"/>
              </w:rPr>
            </w:pPr>
            <w:r w:rsidRPr="00F6158E">
              <w:rPr>
                <w:lang w:val="uk-UA"/>
              </w:rPr>
              <w:t>Сума  балів  опитаних батьків (</w:t>
            </w:r>
            <w:r w:rsidR="00F6158E" w:rsidRPr="00F6158E">
              <w:rPr>
                <w:lang w:val="uk-UA"/>
              </w:rPr>
              <w:t>А</w:t>
            </w:r>
            <w:r w:rsidRPr="00F6158E">
              <w:rPr>
                <w:lang w:val="uk-UA"/>
              </w:rPr>
              <w:t>)</w:t>
            </w:r>
          </w:p>
        </w:tc>
        <w:tc>
          <w:tcPr>
            <w:tcW w:w="1403" w:type="dxa"/>
            <w:shd w:val="clear" w:color="auto" w:fill="FBD4B4" w:themeFill="accent6" w:themeFillTint="66"/>
            <w:textDirection w:val="btLr"/>
          </w:tcPr>
          <w:p w:rsidR="00E803EC" w:rsidRPr="00F6158E" w:rsidRDefault="00520134" w:rsidP="00520134">
            <w:pPr>
              <w:ind w:left="113" w:right="113"/>
              <w:rPr>
                <w:lang w:val="uk-UA"/>
              </w:rPr>
            </w:pP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опитаних</w:t>
            </w:r>
            <w:r w:rsidR="00F6158E" w:rsidRPr="00F6158E">
              <w:rPr>
                <w:lang w:val="uk-UA"/>
              </w:rPr>
              <w:t xml:space="preserve"> батьків (Б)</w:t>
            </w:r>
          </w:p>
        </w:tc>
        <w:tc>
          <w:tcPr>
            <w:tcW w:w="918" w:type="dxa"/>
            <w:shd w:val="clear" w:color="auto" w:fill="FBD4B4" w:themeFill="accent6" w:themeFillTint="66"/>
            <w:textDirection w:val="btLr"/>
          </w:tcPr>
          <w:p w:rsidR="00E803EC" w:rsidRPr="00F6158E" w:rsidRDefault="00F6158E" w:rsidP="00F6158E">
            <w:pPr>
              <w:ind w:left="113" w:right="113"/>
              <w:rPr>
                <w:lang w:val="uk-UA"/>
              </w:rPr>
            </w:pPr>
            <w:r w:rsidRPr="00F6158E">
              <w:rPr>
                <w:lang w:val="uk-UA"/>
              </w:rPr>
              <w:t xml:space="preserve">Середня </w:t>
            </w:r>
            <w:proofErr w:type="spellStart"/>
            <w:r w:rsidRPr="00F6158E">
              <w:rPr>
                <w:lang w:val="uk-UA"/>
              </w:rPr>
              <w:t>к-ть</w:t>
            </w:r>
            <w:proofErr w:type="spellEnd"/>
            <w:r w:rsidRPr="00F6158E">
              <w:rPr>
                <w:lang w:val="uk-UA"/>
              </w:rPr>
              <w:t xml:space="preserve"> балів  4 (А/Б)</w:t>
            </w:r>
          </w:p>
        </w:tc>
      </w:tr>
      <w:tr w:rsidR="00E803EC" w:rsidRPr="00F6158E" w:rsidTr="0088766F">
        <w:trPr>
          <w:trHeight w:val="357"/>
        </w:trPr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1.Забезпечення дружньої, заохочувальної , сприятливої атмосфери</w:t>
            </w:r>
          </w:p>
        </w:tc>
        <w:tc>
          <w:tcPr>
            <w:tcW w:w="851" w:type="dxa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7,3 </w:t>
            </w:r>
          </w:p>
        </w:tc>
        <w:tc>
          <w:tcPr>
            <w:tcW w:w="992" w:type="dxa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3,65</w:t>
            </w:r>
          </w:p>
        </w:tc>
        <w:tc>
          <w:tcPr>
            <w:tcW w:w="729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085" w:type="dxa"/>
          </w:tcPr>
          <w:p w:rsidR="00E803EC" w:rsidRPr="00F6158E" w:rsidRDefault="00E21D9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61,6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E21D9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3,08</w:t>
            </w:r>
          </w:p>
        </w:tc>
        <w:tc>
          <w:tcPr>
            <w:tcW w:w="898" w:type="dxa"/>
          </w:tcPr>
          <w:p w:rsidR="00E803EC" w:rsidRPr="00F6158E" w:rsidRDefault="00430033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26,4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430033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2. Забезпечення та дотримання належних  санітарно – гігієнічних  норм</w:t>
            </w:r>
          </w:p>
        </w:tc>
        <w:tc>
          <w:tcPr>
            <w:tcW w:w="851" w:type="dxa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992" w:type="dxa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6158E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3.55</w:t>
            </w:r>
          </w:p>
        </w:tc>
        <w:tc>
          <w:tcPr>
            <w:tcW w:w="729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16,2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3,24</w:t>
            </w:r>
          </w:p>
        </w:tc>
        <w:tc>
          <w:tcPr>
            <w:tcW w:w="1085" w:type="dxa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60,2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3,01</w:t>
            </w:r>
          </w:p>
        </w:tc>
        <w:tc>
          <w:tcPr>
            <w:tcW w:w="898" w:type="dxa"/>
          </w:tcPr>
          <w:p w:rsidR="00E803EC" w:rsidRPr="00F6158E" w:rsidRDefault="00430033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25,6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430033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3. Сприяння  співпраці  та  активному навчанню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3,05</w:t>
            </w:r>
          </w:p>
        </w:tc>
        <w:tc>
          <w:tcPr>
            <w:tcW w:w="729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15,9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3,18</w:t>
            </w:r>
          </w:p>
        </w:tc>
        <w:tc>
          <w:tcPr>
            <w:tcW w:w="1085" w:type="dxa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55,8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2,79</w:t>
            </w:r>
          </w:p>
        </w:tc>
        <w:tc>
          <w:tcPr>
            <w:tcW w:w="898" w:type="dxa"/>
          </w:tcPr>
          <w:p w:rsidR="00E803EC" w:rsidRPr="00F6158E" w:rsidRDefault="00484AD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484AD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3,15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4. Відсутність  фізичного покарання та насильства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3,55</w:t>
            </w:r>
          </w:p>
        </w:tc>
        <w:tc>
          <w:tcPr>
            <w:tcW w:w="729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17,8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3,56</w:t>
            </w:r>
          </w:p>
        </w:tc>
        <w:tc>
          <w:tcPr>
            <w:tcW w:w="1085" w:type="dxa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  <w:tc>
          <w:tcPr>
            <w:tcW w:w="898" w:type="dxa"/>
          </w:tcPr>
          <w:p w:rsidR="00E803EC" w:rsidRPr="00F6158E" w:rsidRDefault="00484AD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27,5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484ADB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5. Недопущення знущання ,  домагання та дискримінації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729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18,1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3,62</w:t>
            </w:r>
          </w:p>
        </w:tc>
        <w:tc>
          <w:tcPr>
            <w:tcW w:w="1085" w:type="dxa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66,4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3272FC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3,32</w:t>
            </w:r>
          </w:p>
        </w:tc>
        <w:tc>
          <w:tcPr>
            <w:tcW w:w="898" w:type="dxa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28,4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3,55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6. Оцінка творчих видів діяльності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7.3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3,65</w:t>
            </w:r>
          </w:p>
        </w:tc>
        <w:tc>
          <w:tcPr>
            <w:tcW w:w="729" w:type="dxa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085" w:type="dxa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55,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2,76</w:t>
            </w:r>
          </w:p>
        </w:tc>
        <w:tc>
          <w:tcPr>
            <w:tcW w:w="898" w:type="dxa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27,8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7. Узгодження виховних  впливів  школи і сім</w:t>
            </w:r>
            <w:r w:rsidRPr="00F6158E">
              <w:rPr>
                <w:rFonts w:cstheme="minorHAnsi"/>
                <w:lang w:val="uk-UA"/>
              </w:rPr>
              <w:t>'</w:t>
            </w:r>
            <w:r w:rsidRPr="00F6158E">
              <w:rPr>
                <w:lang w:val="uk-UA"/>
              </w:rPr>
              <w:t xml:space="preserve">ї шляхом  залучення батьків 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7,5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3,75</w:t>
            </w:r>
          </w:p>
        </w:tc>
        <w:tc>
          <w:tcPr>
            <w:tcW w:w="729" w:type="dxa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3,58</w:t>
            </w:r>
          </w:p>
        </w:tc>
        <w:tc>
          <w:tcPr>
            <w:tcW w:w="1085" w:type="dxa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63,4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3,17</w:t>
            </w:r>
          </w:p>
        </w:tc>
        <w:tc>
          <w:tcPr>
            <w:tcW w:w="898" w:type="dxa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26,8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3,35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8. Сприяння рівним можливостям  учнів  щодо участі  у сприйнятті рішень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7,6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3,8</w:t>
            </w:r>
          </w:p>
        </w:tc>
        <w:tc>
          <w:tcPr>
            <w:tcW w:w="729" w:type="dxa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3,54</w:t>
            </w:r>
          </w:p>
        </w:tc>
        <w:tc>
          <w:tcPr>
            <w:tcW w:w="1085" w:type="dxa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68,4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3,42</w:t>
            </w:r>
          </w:p>
        </w:tc>
        <w:tc>
          <w:tcPr>
            <w:tcW w:w="898" w:type="dxa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27,9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E47CD8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 xml:space="preserve">9. Якісна  превентивна освіта </w:t>
            </w:r>
          </w:p>
        </w:tc>
        <w:tc>
          <w:tcPr>
            <w:tcW w:w="851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  <w:tc>
          <w:tcPr>
            <w:tcW w:w="992" w:type="dxa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3,65</w:t>
            </w:r>
          </w:p>
        </w:tc>
        <w:tc>
          <w:tcPr>
            <w:tcW w:w="729" w:type="dxa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17,4</w:t>
            </w:r>
          </w:p>
        </w:tc>
        <w:tc>
          <w:tcPr>
            <w:tcW w:w="1346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3,48</w:t>
            </w:r>
          </w:p>
        </w:tc>
        <w:tc>
          <w:tcPr>
            <w:tcW w:w="1085" w:type="dxa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64,8</w:t>
            </w:r>
          </w:p>
        </w:tc>
        <w:tc>
          <w:tcPr>
            <w:tcW w:w="1047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3,24</w:t>
            </w:r>
          </w:p>
        </w:tc>
        <w:tc>
          <w:tcPr>
            <w:tcW w:w="898" w:type="dxa"/>
          </w:tcPr>
          <w:p w:rsidR="00E803EC" w:rsidRPr="00F6158E" w:rsidRDefault="00F3007A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28,9</w:t>
            </w:r>
          </w:p>
        </w:tc>
        <w:tc>
          <w:tcPr>
            <w:tcW w:w="1403" w:type="dxa"/>
          </w:tcPr>
          <w:p w:rsidR="00E803EC" w:rsidRPr="00F6158E" w:rsidRDefault="00925155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F3007A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3,6</w:t>
            </w:r>
          </w:p>
        </w:tc>
      </w:tr>
      <w:tr w:rsidR="00E803EC" w:rsidRPr="00F6158E" w:rsidTr="0088766F">
        <w:tc>
          <w:tcPr>
            <w:tcW w:w="3652" w:type="dxa"/>
          </w:tcPr>
          <w:p w:rsidR="00E803EC" w:rsidRPr="00F6158E" w:rsidRDefault="0088766F" w:rsidP="0088766F">
            <w:pPr>
              <w:rPr>
                <w:lang w:val="uk-UA"/>
              </w:rPr>
            </w:pPr>
            <w:r w:rsidRPr="00F6158E">
              <w:rPr>
                <w:lang w:val="uk-UA"/>
              </w:rPr>
              <w:t>Загальна сума  балів  графи « середня кількість балів (А/Б)» за дев</w:t>
            </w:r>
            <w:r w:rsidRPr="00F6158E">
              <w:rPr>
                <w:rFonts w:cstheme="minorHAnsi"/>
                <w:lang w:val="uk-UA"/>
              </w:rPr>
              <w:t>'</w:t>
            </w:r>
            <w:r w:rsidRPr="00F6158E">
              <w:rPr>
                <w:lang w:val="uk-UA"/>
              </w:rPr>
              <w:t>ять блоків</w:t>
            </w:r>
            <w:r w:rsidRPr="00F6158E">
              <w:rPr>
                <w:rFonts w:cstheme="minorHAnsi"/>
                <w:lang w:val="uk-UA"/>
              </w:rPr>
              <w:t>: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941" w:type="dxa"/>
            <w:shd w:val="clear" w:color="auto" w:fill="FBD4B4" w:themeFill="accent6" w:themeFillTint="66"/>
          </w:tcPr>
          <w:p w:rsidR="00E803EC" w:rsidRPr="00F6158E" w:rsidRDefault="00F11561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3,1</w:t>
            </w:r>
          </w:p>
        </w:tc>
        <w:tc>
          <w:tcPr>
            <w:tcW w:w="729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1346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1143" w:type="dxa"/>
            <w:shd w:val="clear" w:color="auto" w:fill="FBD4B4" w:themeFill="accent6" w:themeFillTint="66"/>
          </w:tcPr>
          <w:p w:rsidR="00E803EC" w:rsidRPr="00F6158E" w:rsidRDefault="00306D04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</w:t>
            </w:r>
          </w:p>
        </w:tc>
        <w:tc>
          <w:tcPr>
            <w:tcW w:w="1085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1047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1087" w:type="dxa"/>
            <w:shd w:val="clear" w:color="auto" w:fill="FBD4B4" w:themeFill="accent6" w:themeFillTint="66"/>
          </w:tcPr>
          <w:p w:rsidR="00E803EC" w:rsidRPr="00F6158E" w:rsidRDefault="00D22C5D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898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lang w:val="uk-UA"/>
              </w:rPr>
            </w:pPr>
          </w:p>
        </w:tc>
        <w:tc>
          <w:tcPr>
            <w:tcW w:w="1403" w:type="dxa"/>
            <w:shd w:val="clear" w:color="auto" w:fill="FBD4B4" w:themeFill="accent6" w:themeFillTint="66"/>
          </w:tcPr>
          <w:p w:rsidR="00E803EC" w:rsidRPr="00F6158E" w:rsidRDefault="00E803EC" w:rsidP="00E803EC">
            <w:pPr>
              <w:jc w:val="center"/>
              <w:rPr>
                <w:color w:val="E36C0A" w:themeColor="accent6" w:themeShade="BF"/>
                <w:lang w:val="uk-UA"/>
              </w:rPr>
            </w:pPr>
          </w:p>
        </w:tc>
        <w:tc>
          <w:tcPr>
            <w:tcW w:w="918" w:type="dxa"/>
            <w:shd w:val="clear" w:color="auto" w:fill="FBD4B4" w:themeFill="accent6" w:themeFillTint="66"/>
          </w:tcPr>
          <w:p w:rsidR="00E803EC" w:rsidRPr="00F6158E" w:rsidRDefault="00F3007A" w:rsidP="00E803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</w:tbl>
    <w:p w:rsidR="00F3007A" w:rsidRPr="00F6158E" w:rsidRDefault="00F3007A" w:rsidP="005275E9">
      <w:pPr>
        <w:rPr>
          <w:lang w:val="uk-UA"/>
        </w:rPr>
      </w:pPr>
      <w:bookmarkStart w:id="0" w:name="_GoBack"/>
      <w:bookmarkEnd w:id="0"/>
    </w:p>
    <w:sectPr w:rsidR="00F3007A" w:rsidRPr="00F6158E" w:rsidSect="00E803EC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245"/>
    <w:multiLevelType w:val="hybridMultilevel"/>
    <w:tmpl w:val="A80092CE"/>
    <w:lvl w:ilvl="0" w:tplc="58B8F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93906"/>
    <w:multiLevelType w:val="hybridMultilevel"/>
    <w:tmpl w:val="F544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3EC"/>
    <w:rsid w:val="00066D21"/>
    <w:rsid w:val="0026018D"/>
    <w:rsid w:val="00306D04"/>
    <w:rsid w:val="003272FC"/>
    <w:rsid w:val="003E0691"/>
    <w:rsid w:val="00430033"/>
    <w:rsid w:val="004446DB"/>
    <w:rsid w:val="00484ADB"/>
    <w:rsid w:val="00520134"/>
    <w:rsid w:val="005275E9"/>
    <w:rsid w:val="0088766F"/>
    <w:rsid w:val="00925155"/>
    <w:rsid w:val="00D22C5D"/>
    <w:rsid w:val="00E21D9B"/>
    <w:rsid w:val="00E27F59"/>
    <w:rsid w:val="00E47CD8"/>
    <w:rsid w:val="00E803EC"/>
    <w:rsid w:val="00F11561"/>
    <w:rsid w:val="00F3007A"/>
    <w:rsid w:val="00F57032"/>
    <w:rsid w:val="00F6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9</cp:revision>
  <dcterms:created xsi:type="dcterms:W3CDTF">2014-05-18T09:27:00Z</dcterms:created>
  <dcterms:modified xsi:type="dcterms:W3CDTF">2014-06-11T10:12:00Z</dcterms:modified>
</cp:coreProperties>
</file>